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b/>
          <w:bCs/>
          <w:sz w:val="16"/>
          <w:szCs w:val="16"/>
        </w:rPr>
        <w:t>Title 40: Protection of Environment</w:t>
      </w:r>
      <w:r w:rsidRPr="00470E91">
        <w:rPr>
          <w:rFonts w:ascii="Book Antiqua" w:eastAsia="Times New Roman" w:hAnsi="Book Antiqua" w:cs="Arial"/>
          <w:sz w:val="16"/>
          <w:szCs w:val="16"/>
        </w:rPr>
        <w:br/>
      </w:r>
      <w:bookmarkStart w:id="0" w:name="40:10.0.1.1.1"/>
      <w:r w:rsidR="00624808" w:rsidRPr="00470E91">
        <w:rPr>
          <w:rFonts w:ascii="Book Antiqua" w:eastAsia="Times New Roman" w:hAnsi="Book Antiqua" w:cs="Arial"/>
          <w:sz w:val="16"/>
          <w:szCs w:val="16"/>
        </w:rPr>
        <w:fldChar w:fldCharType="begin"/>
      </w:r>
      <w:r w:rsidRPr="00470E91">
        <w:rPr>
          <w:rFonts w:ascii="Book Antiqua" w:eastAsia="Times New Roman" w:hAnsi="Book Antiqua" w:cs="Arial"/>
          <w:sz w:val="16"/>
          <w:szCs w:val="16"/>
        </w:rPr>
        <w:instrText xml:space="preserve"> HYPERLINK "http://ecfr.gpoaccess.gov/cgi/t/text/text-idx?c=ecfr;sid=5dddb1781be936c451f4e20340888a89;rgn=div5;view=text;node=40%3A10.0.1.1.1;idno=40;cc=ecfr" </w:instrText>
      </w:r>
      <w:r w:rsidR="00624808" w:rsidRPr="00470E91">
        <w:rPr>
          <w:rFonts w:ascii="Book Antiqua" w:eastAsia="Times New Roman" w:hAnsi="Book Antiqua" w:cs="Arial"/>
          <w:sz w:val="16"/>
          <w:szCs w:val="16"/>
        </w:rPr>
        <w:fldChar w:fldCharType="separate"/>
      </w:r>
      <w:r w:rsidRPr="00470E91">
        <w:rPr>
          <w:rFonts w:ascii="Book Antiqua" w:eastAsia="Times New Roman" w:hAnsi="Book Antiqua" w:cs="Arial"/>
          <w:color w:val="0000FF"/>
          <w:sz w:val="16"/>
          <w:szCs w:val="16"/>
          <w:u w:val="single"/>
        </w:rPr>
        <w:t>PART 63—NATIONAL EMISSION STANDARDS FOR HAZARDOUS AIR POLLUTANTS FOR SOURCE CATEGORIES (CONTINUED)</w:t>
      </w:r>
      <w:r w:rsidR="00624808" w:rsidRPr="00470E91">
        <w:rPr>
          <w:rFonts w:ascii="Book Antiqua" w:eastAsia="Times New Roman" w:hAnsi="Book Antiqua" w:cs="Arial"/>
          <w:sz w:val="16"/>
          <w:szCs w:val="16"/>
        </w:rPr>
        <w:fldChar w:fldCharType="end"/>
      </w:r>
      <w:bookmarkEnd w:id="0"/>
      <w:r w:rsidRPr="00470E91">
        <w:rPr>
          <w:rFonts w:ascii="Book Antiqua" w:eastAsia="Times New Roman" w:hAnsi="Book Antiqua" w:cs="Arial"/>
          <w:sz w:val="16"/>
          <w:szCs w:val="16"/>
        </w:rPr>
        <w:t xml:space="preserve"> </w:t>
      </w:r>
    </w:p>
    <w:p w:rsidR="00470E91" w:rsidRPr="00470E91" w:rsidRDefault="00624808" w:rsidP="00470E91">
      <w:pPr>
        <w:spacing w:before="100" w:beforeAutospacing="1" w:after="100" w:afterAutospacing="1" w:line="240" w:lineRule="auto"/>
        <w:rPr>
          <w:rFonts w:ascii="Book Antiqua" w:eastAsia="Times New Roman" w:hAnsi="Book Antiqua" w:cs="Times New Roman"/>
          <w:sz w:val="16"/>
          <w:szCs w:val="16"/>
        </w:rPr>
      </w:pPr>
      <w:hyperlink r:id="rId6" w:history="1">
        <w:r w:rsidR="00470E91" w:rsidRPr="00470E91">
          <w:rPr>
            <w:rFonts w:ascii="Book Antiqua" w:eastAsia="Times New Roman" w:hAnsi="Book Antiqua" w:cs="Arial"/>
            <w:color w:val="0000FF"/>
            <w:sz w:val="16"/>
            <w:szCs w:val="16"/>
            <w:u w:val="single"/>
          </w:rPr>
          <w:t>Browse Previous</w:t>
        </w:r>
      </w:hyperlink>
      <w:r w:rsidR="00470E91" w:rsidRPr="00470E91">
        <w:rPr>
          <w:rFonts w:ascii="Book Antiqua" w:eastAsia="Times New Roman" w:hAnsi="Book Antiqua" w:cs="Arial"/>
          <w:sz w:val="16"/>
          <w:szCs w:val="16"/>
        </w:rPr>
        <w:t> | </w:t>
      </w:r>
      <w:hyperlink r:id="rId7" w:history="1">
        <w:r w:rsidR="00470E91" w:rsidRPr="00470E91">
          <w:rPr>
            <w:rFonts w:ascii="Book Antiqua" w:eastAsia="Times New Roman" w:hAnsi="Book Antiqua" w:cs="Arial"/>
            <w:color w:val="0000FF"/>
            <w:sz w:val="16"/>
            <w:szCs w:val="16"/>
            <w:u w:val="single"/>
          </w:rPr>
          <w:t>Browse Next</w:t>
        </w:r>
      </w:hyperlink>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xml:space="preserve">Subpart BB—National Emission Standards for Hazardous Air Pollutants </w:t>
      </w:r>
      <w:proofErr w:type="gramStart"/>
      <w:r w:rsidRPr="00470E91">
        <w:rPr>
          <w:rFonts w:ascii="Book Antiqua" w:eastAsia="Times New Roman" w:hAnsi="Book Antiqua" w:cs="Arial"/>
          <w:b/>
          <w:bCs/>
          <w:sz w:val="16"/>
          <w:szCs w:val="16"/>
        </w:rPr>
        <w:t>From</w:t>
      </w:r>
      <w:proofErr w:type="gramEnd"/>
      <w:r w:rsidRPr="00470E91">
        <w:rPr>
          <w:rFonts w:ascii="Book Antiqua" w:eastAsia="Times New Roman" w:hAnsi="Book Antiqua" w:cs="Arial"/>
          <w:b/>
          <w:bCs/>
          <w:sz w:val="16"/>
          <w:szCs w:val="16"/>
        </w:rPr>
        <w:t xml:space="preserve"> Phosphate Fertilizers Production Plants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b/>
          <w:bCs/>
          <w:sz w:val="16"/>
          <w:szCs w:val="16"/>
        </w:rPr>
        <w:t>Source:</w:t>
      </w:r>
      <w:r w:rsidRPr="00470E91">
        <w:rPr>
          <w:rFonts w:ascii="Book Antiqua" w:eastAsia="Times New Roman" w:hAnsi="Book Antiqua" w:cs="Arial"/>
          <w:sz w:val="16"/>
          <w:szCs w:val="16"/>
        </w:rPr>
        <w:t xml:space="preserve">   64 FR 31382, June 10, 1999, unless otherwise noted. </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proofErr w:type="gramStart"/>
      <w:r w:rsidRPr="00470E91">
        <w:rPr>
          <w:rFonts w:ascii="Book Antiqua" w:eastAsia="Times New Roman" w:hAnsi="Book Antiqua" w:cs="Arial"/>
          <w:b/>
          <w:bCs/>
          <w:sz w:val="16"/>
          <w:szCs w:val="16"/>
        </w:rPr>
        <w:t>§ 63.620   Applicability.</w:t>
      </w:r>
      <w:proofErr w:type="gramEnd"/>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Except as provided in paragraphs (c), (d), and (e) of this section, the requirements of this subpart apply to the owner or operator of each phosphate fertilizers production plant.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The requirements of this subpart apply to emissions of hazardous air pollutants (HAPs) emitted from the following new or existing affected sources at a phosphate fertilizers production plant: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(1) Each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The requirements of this subpart apply to the following emission points which are components of a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reactors, granulators, </w:t>
      </w:r>
      <w:proofErr w:type="gramStart"/>
      <w:r w:rsidRPr="00470E91">
        <w:rPr>
          <w:rFonts w:ascii="Book Antiqua" w:eastAsia="Times New Roman" w:hAnsi="Book Antiqua" w:cs="Arial"/>
          <w:sz w:val="16"/>
          <w:szCs w:val="16"/>
        </w:rPr>
        <w:t>dryers</w:t>
      </w:r>
      <w:proofErr w:type="gramEnd"/>
      <w:r w:rsidRPr="00470E91">
        <w:rPr>
          <w:rFonts w:ascii="Book Antiqua" w:eastAsia="Times New Roman" w:hAnsi="Book Antiqua" w:cs="Arial"/>
          <w:sz w:val="16"/>
          <w:szCs w:val="16"/>
        </w:rPr>
        <w:t>, coolers, screens, and mills.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Each granular triple superphosphate process line. The requirements of this subpart apply to the following emission points which are components of a granular triple superphosphate process line: mixers, curing belts (dens), reactors, granulators, dryers, coolers, screens, and mills.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(3) Each granular triple superphosphate storage building. The requirements of this subpart apply to the following emission points which are components of a granular triple superphosphate storage building: storage or curing buildings, conveyors, elevators, screens and mills.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The requirements of this subpart do not apply to the owner or operator of a new or existing phosphate fertilizers production plant that is not a major source as defined in §63.2.</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(d) The provisions of this subpart do not apply to research and development facilities as defined in §63.621.</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(e) The emission limitations and operating parameter requirements of this subpart do not apply during periods of startup, shutdown, or malfunction, as those terms are defined in §63.2, provided that the source is operated in accordance with §63.6(e)(1)(</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[64 FR 31382, June 10, 1999, as amended at 67 FR 65077, Dec. 17, 2001; 71 FR 20457, Apr. 20, 2006]</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63.621   Definitions.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Terms used in this subpart are defined in the Clean Air Act, in §63.2, or in this section as follows: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Diammonium and/or </w:t>
      </w:r>
      <w:proofErr w:type="spellStart"/>
      <w:r w:rsidRPr="00470E91">
        <w:rPr>
          <w:rFonts w:ascii="Book Antiqua" w:eastAsia="Times New Roman" w:hAnsi="Book Antiqua" w:cs="Arial"/>
          <w:i/>
          <w:iCs/>
          <w:sz w:val="16"/>
          <w:szCs w:val="16"/>
        </w:rPr>
        <w:t>monoammonium</w:t>
      </w:r>
      <w:proofErr w:type="spellEnd"/>
      <w:r w:rsidRPr="00470E91">
        <w:rPr>
          <w:rFonts w:ascii="Book Antiqua" w:eastAsia="Times New Roman" w:hAnsi="Book Antiqua" w:cs="Arial"/>
          <w:i/>
          <w:iCs/>
          <w:sz w:val="16"/>
          <w:szCs w:val="16"/>
        </w:rPr>
        <w:t xml:space="preserve"> phosphate process line </w:t>
      </w:r>
      <w:r w:rsidRPr="00470E91">
        <w:rPr>
          <w:rFonts w:ascii="Book Antiqua" w:eastAsia="Times New Roman" w:hAnsi="Book Antiqua" w:cs="Arial"/>
          <w:sz w:val="16"/>
          <w:szCs w:val="16"/>
        </w:rPr>
        <w:t xml:space="preserve">means any process line manufacturing granular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by reacting ammonia with phosphoric acid which has been derived from or manufactured by reacting phosphate rock and acid.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Equivalent P </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 </w:t>
      </w:r>
      <w:r w:rsidRPr="00470E91">
        <w:rPr>
          <w:rFonts w:ascii="Book Antiqua" w:eastAsia="Times New Roman" w:hAnsi="Book Antiqua" w:cs="Arial"/>
          <w:i/>
          <w:iCs/>
          <w:sz w:val="16"/>
          <w:szCs w:val="16"/>
        </w:rPr>
        <w:t xml:space="preserve">feed </w:t>
      </w:r>
      <w:r w:rsidRPr="00470E91">
        <w:rPr>
          <w:rFonts w:ascii="Book Antiqua" w:eastAsia="Times New Roman" w:hAnsi="Book Antiqua" w:cs="Arial"/>
          <w:sz w:val="16"/>
          <w:szCs w:val="16"/>
        </w:rPr>
        <w:t xml:space="preserve">means the quantity of phosphorus, expressed as phosphorous </w:t>
      </w:r>
      <w:proofErr w:type="spellStart"/>
      <w:r w:rsidRPr="00470E91">
        <w:rPr>
          <w:rFonts w:ascii="Book Antiqua" w:eastAsia="Times New Roman" w:hAnsi="Book Antiqua" w:cs="Arial"/>
          <w:sz w:val="16"/>
          <w:szCs w:val="16"/>
        </w:rPr>
        <w:t>pentoxide</w:t>
      </w:r>
      <w:proofErr w:type="spellEnd"/>
      <w:r w:rsidRPr="00470E91">
        <w:rPr>
          <w:rFonts w:ascii="Book Antiqua" w:eastAsia="Times New Roman" w:hAnsi="Book Antiqua" w:cs="Arial"/>
          <w:sz w:val="16"/>
          <w:szCs w:val="16"/>
        </w:rPr>
        <w:t>, fed to the process.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Equivalent P </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 </w:t>
      </w:r>
      <w:r w:rsidRPr="00470E91">
        <w:rPr>
          <w:rFonts w:ascii="Book Antiqua" w:eastAsia="Times New Roman" w:hAnsi="Book Antiqua" w:cs="Arial"/>
          <w:i/>
          <w:iCs/>
          <w:sz w:val="16"/>
          <w:szCs w:val="16"/>
        </w:rPr>
        <w:t xml:space="preserve">stored </w:t>
      </w:r>
      <w:r w:rsidRPr="00470E91">
        <w:rPr>
          <w:rFonts w:ascii="Book Antiqua" w:eastAsia="Times New Roman" w:hAnsi="Book Antiqua" w:cs="Arial"/>
          <w:sz w:val="16"/>
          <w:szCs w:val="16"/>
        </w:rPr>
        <w:t xml:space="preserve">means the quantity of phosphorus, expressed as phosphorus </w:t>
      </w:r>
      <w:proofErr w:type="spellStart"/>
      <w:r w:rsidRPr="00470E91">
        <w:rPr>
          <w:rFonts w:ascii="Book Antiqua" w:eastAsia="Times New Roman" w:hAnsi="Book Antiqua" w:cs="Arial"/>
          <w:sz w:val="16"/>
          <w:szCs w:val="16"/>
        </w:rPr>
        <w:t>pentoxide</w:t>
      </w:r>
      <w:proofErr w:type="spellEnd"/>
      <w:r w:rsidRPr="00470E91">
        <w:rPr>
          <w:rFonts w:ascii="Book Antiqua" w:eastAsia="Times New Roman" w:hAnsi="Book Antiqua" w:cs="Arial"/>
          <w:sz w:val="16"/>
          <w:szCs w:val="16"/>
        </w:rPr>
        <w:t>, being cured or stored in the affected facility.</w:t>
      </w:r>
    </w:p>
    <w:p w:rsidR="00433252"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Exceedance </w:t>
      </w:r>
      <w:r w:rsidRPr="00470E91">
        <w:rPr>
          <w:rFonts w:ascii="Book Antiqua" w:eastAsia="Times New Roman" w:hAnsi="Book Antiqua" w:cs="Arial"/>
          <w:sz w:val="16"/>
          <w:szCs w:val="16"/>
        </w:rPr>
        <w:t>means a departure from an indicator range established for monitoring under this subpart, consistent with any averaging period specified for averaging the results of the monitoring.</w:t>
      </w:r>
    </w:p>
    <w:p w:rsidR="00433252" w:rsidRDefault="00433252">
      <w:pPr>
        <w:rPr>
          <w:rFonts w:ascii="Book Antiqua" w:eastAsia="Times New Roman" w:hAnsi="Book Antiqua" w:cs="Arial"/>
          <w:sz w:val="16"/>
          <w:szCs w:val="16"/>
        </w:rPr>
      </w:pPr>
      <w:r>
        <w:rPr>
          <w:rFonts w:ascii="Book Antiqua" w:eastAsia="Times New Roman" w:hAnsi="Book Antiqua" w:cs="Arial"/>
          <w:sz w:val="16"/>
          <w:szCs w:val="16"/>
        </w:rPr>
        <w:br w:type="page"/>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Fresh granular triple superphosphate </w:t>
      </w:r>
      <w:r w:rsidRPr="00470E91">
        <w:rPr>
          <w:rFonts w:ascii="Book Antiqua" w:eastAsia="Times New Roman" w:hAnsi="Book Antiqua" w:cs="Arial"/>
          <w:sz w:val="16"/>
          <w:szCs w:val="16"/>
        </w:rPr>
        <w:t>means granular triple superphosphate produced within the preceding 72 hours.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Granular triple superphosphate process line </w:t>
      </w:r>
      <w:r w:rsidRPr="00470E91">
        <w:rPr>
          <w:rFonts w:ascii="Book Antiqua" w:eastAsia="Times New Roman" w:hAnsi="Book Antiqua" w:cs="Arial"/>
          <w:sz w:val="16"/>
          <w:szCs w:val="16"/>
        </w:rPr>
        <w:t>means any process line, not including storage buildings, manufacturing granular triple superphosphate by reacting phosphate rock with phosphoric acid.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Granular triple superphosphate storage building </w:t>
      </w:r>
      <w:r w:rsidRPr="00470E91">
        <w:rPr>
          <w:rFonts w:ascii="Book Antiqua" w:eastAsia="Times New Roman" w:hAnsi="Book Antiqua" w:cs="Arial"/>
          <w:sz w:val="16"/>
          <w:szCs w:val="16"/>
        </w:rPr>
        <w:t>means any building curing or storing fresh granular triple superphosphate.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Research and development facility </w:t>
      </w:r>
      <w:r w:rsidRPr="00470E91">
        <w:rPr>
          <w:rFonts w:ascii="Book Antiqua" w:eastAsia="Times New Roman" w:hAnsi="Book Antiqua" w:cs="Arial"/>
          <w:sz w:val="16"/>
          <w:szCs w:val="16"/>
        </w:rPr>
        <w:t xml:space="preserve">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w:t>
      </w:r>
      <w:proofErr w:type="spellStart"/>
      <w:r w:rsidRPr="00470E91">
        <w:rPr>
          <w:rFonts w:ascii="Book Antiqua" w:eastAsia="Times New Roman" w:hAnsi="Book Antiqua" w:cs="Arial"/>
          <w:sz w:val="16"/>
          <w:szCs w:val="16"/>
        </w:rPr>
        <w:t>minimis</w:t>
      </w:r>
      <w:proofErr w:type="spellEnd"/>
      <w:r w:rsidRPr="00470E91">
        <w:rPr>
          <w:rFonts w:ascii="Book Antiqua" w:eastAsia="Times New Roman" w:hAnsi="Book Antiqua" w:cs="Arial"/>
          <w:sz w:val="16"/>
          <w:szCs w:val="16"/>
        </w:rPr>
        <w:t xml:space="preserve"> manner.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i/>
          <w:iCs/>
          <w:sz w:val="16"/>
          <w:szCs w:val="16"/>
        </w:rPr>
        <w:t xml:space="preserve">Total fluorides </w:t>
      </w:r>
      <w:r w:rsidRPr="00470E91">
        <w:rPr>
          <w:rFonts w:ascii="Book Antiqua" w:eastAsia="Times New Roman" w:hAnsi="Book Antiqua" w:cs="Arial"/>
          <w:sz w:val="16"/>
          <w:szCs w:val="16"/>
        </w:rPr>
        <w:t>means elemental fluorine and all fluoride compounds, including the HAP hydrogen fluoride, as measured by reference methods specified in 40 CFR part 60, appendix A, Method 13 A or B, or by equivalent or alternative methods approved by the Administrator pursuant to §63.7(f).</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63.622   Standards for existing sources.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(a) </w:t>
      </w:r>
      <w:r w:rsidRPr="00470E91">
        <w:rPr>
          <w:rFonts w:ascii="Book Antiqua" w:eastAsia="Times New Roman" w:hAnsi="Book Antiqua" w:cs="Arial"/>
          <w:i/>
          <w:iCs/>
          <w:sz w:val="16"/>
          <w:szCs w:val="16"/>
        </w:rPr>
        <w:t xml:space="preserve">Diammonium and/or </w:t>
      </w:r>
      <w:proofErr w:type="spellStart"/>
      <w:r w:rsidRPr="00470E91">
        <w:rPr>
          <w:rFonts w:ascii="Book Antiqua" w:eastAsia="Times New Roman" w:hAnsi="Book Antiqua" w:cs="Arial"/>
          <w:i/>
          <w:iCs/>
          <w:sz w:val="16"/>
          <w:szCs w:val="16"/>
        </w:rPr>
        <w:t>monoammonium</w:t>
      </w:r>
      <w:proofErr w:type="spellEnd"/>
      <w:r w:rsidRPr="00470E91">
        <w:rPr>
          <w:rFonts w:ascii="Book Antiqua" w:eastAsia="Times New Roman" w:hAnsi="Book Antiqua" w:cs="Arial"/>
          <w:i/>
          <w:iCs/>
          <w:sz w:val="16"/>
          <w:szCs w:val="16"/>
        </w:rPr>
        <w:t xml:space="preserve"> phosphate process line. </w:t>
      </w:r>
      <w:r w:rsidRPr="00470E91">
        <w:rPr>
          <w:rFonts w:ascii="Book Antiqua" w:eastAsia="Times New Roman" w:hAnsi="Book Antiqua" w:cs="Arial"/>
          <w:sz w:val="16"/>
          <w:szCs w:val="16"/>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30 grams/metric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(0.060 lb/ton).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(b) </w:t>
      </w:r>
      <w:r w:rsidRPr="00470E91">
        <w:rPr>
          <w:rFonts w:ascii="Book Antiqua" w:eastAsia="Times New Roman" w:hAnsi="Book Antiqua" w:cs="Arial"/>
          <w:i/>
          <w:iCs/>
          <w:sz w:val="16"/>
          <w:szCs w:val="16"/>
        </w:rPr>
        <w:t xml:space="preserve">Granular triple superphosphate process line. </w:t>
      </w:r>
      <w:r w:rsidRPr="00470E91">
        <w:rPr>
          <w:rFonts w:ascii="Book Antiqua" w:eastAsia="Times New Roman" w:hAnsi="Book Antiqua" w:cs="Arial"/>
          <w:sz w:val="16"/>
          <w:szCs w:val="16"/>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75 grams/metric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(0.150 lb/ton).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(c) </w:t>
      </w:r>
      <w:r w:rsidRPr="00470E91">
        <w:rPr>
          <w:rFonts w:ascii="Book Antiqua" w:eastAsia="Times New Roman" w:hAnsi="Book Antiqua" w:cs="Arial"/>
          <w:i/>
          <w:iCs/>
          <w:sz w:val="16"/>
          <w:szCs w:val="16"/>
        </w:rPr>
        <w:t xml:space="preserve">Granular triple superphosphate storage building. </w:t>
      </w:r>
      <w:r w:rsidRPr="00470E91">
        <w:rPr>
          <w:rFonts w:ascii="Book Antiqua" w:eastAsia="Times New Roman" w:hAnsi="Book Antiqua" w:cs="Arial"/>
          <w:sz w:val="16"/>
          <w:szCs w:val="16"/>
        </w:rPr>
        <w:t>(1) 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 (5.0×10</w:t>
      </w:r>
      <w:r w:rsidRPr="00470E91">
        <w:rPr>
          <w:rFonts w:ascii="Book Antiqua" w:eastAsia="Times New Roman" w:hAnsi="Book Antiqua" w:cs="Arial"/>
          <w:sz w:val="16"/>
          <w:szCs w:val="16"/>
          <w:vertAlign w:val="superscript"/>
        </w:rPr>
        <w:t>−4</w:t>
      </w:r>
      <w:r w:rsidRPr="00470E91">
        <w:rPr>
          <w:rFonts w:ascii="Book Antiqua" w:eastAsia="Times New Roman" w:hAnsi="Book Antiqua" w:cs="Arial"/>
          <w:sz w:val="16"/>
          <w:szCs w:val="16"/>
        </w:rPr>
        <w:t>lb/hr/ton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No owner or operator subject to the provisions of this subpart shall ship fresh granular triple superphosphate from an affected facility.</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63.623   Standards for new sources.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(a) </w:t>
      </w:r>
      <w:r w:rsidRPr="00470E91">
        <w:rPr>
          <w:rFonts w:ascii="Book Antiqua" w:eastAsia="Times New Roman" w:hAnsi="Book Antiqua" w:cs="Arial"/>
          <w:i/>
          <w:iCs/>
          <w:sz w:val="16"/>
          <w:szCs w:val="16"/>
        </w:rPr>
        <w:t xml:space="preserve">Diammonium and/or </w:t>
      </w:r>
      <w:proofErr w:type="spellStart"/>
      <w:r w:rsidRPr="00470E91">
        <w:rPr>
          <w:rFonts w:ascii="Book Antiqua" w:eastAsia="Times New Roman" w:hAnsi="Book Antiqua" w:cs="Arial"/>
          <w:i/>
          <w:iCs/>
          <w:sz w:val="16"/>
          <w:szCs w:val="16"/>
        </w:rPr>
        <w:t>monoammonium</w:t>
      </w:r>
      <w:proofErr w:type="spellEnd"/>
      <w:r w:rsidRPr="00470E91">
        <w:rPr>
          <w:rFonts w:ascii="Book Antiqua" w:eastAsia="Times New Roman" w:hAnsi="Book Antiqua" w:cs="Arial"/>
          <w:i/>
          <w:iCs/>
          <w:sz w:val="16"/>
          <w:szCs w:val="16"/>
        </w:rPr>
        <w:t xml:space="preserve"> phosphate process line. </w:t>
      </w:r>
      <w:r w:rsidRPr="00470E91">
        <w:rPr>
          <w:rFonts w:ascii="Book Antiqua" w:eastAsia="Times New Roman" w:hAnsi="Book Antiqua" w:cs="Arial"/>
          <w:sz w:val="16"/>
          <w:szCs w:val="16"/>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29.0 grams/metric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(0.0580 lb/ton).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(b) </w:t>
      </w:r>
      <w:r w:rsidRPr="00470E91">
        <w:rPr>
          <w:rFonts w:ascii="Book Antiqua" w:eastAsia="Times New Roman" w:hAnsi="Book Antiqua" w:cs="Arial"/>
          <w:i/>
          <w:iCs/>
          <w:sz w:val="16"/>
          <w:szCs w:val="16"/>
        </w:rPr>
        <w:t xml:space="preserve">Granular triple superphosphate process line. </w:t>
      </w:r>
      <w:r w:rsidRPr="00470E91">
        <w:rPr>
          <w:rFonts w:ascii="Book Antiqua" w:eastAsia="Times New Roman" w:hAnsi="Book Antiqua" w:cs="Arial"/>
          <w:sz w:val="16"/>
          <w:szCs w:val="16"/>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61.50 grams/metric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(0.1230 lb/ton).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(c) </w:t>
      </w:r>
      <w:r w:rsidRPr="00470E91">
        <w:rPr>
          <w:rFonts w:ascii="Book Antiqua" w:eastAsia="Times New Roman" w:hAnsi="Book Antiqua" w:cs="Arial"/>
          <w:i/>
          <w:iCs/>
          <w:sz w:val="16"/>
          <w:szCs w:val="16"/>
        </w:rPr>
        <w:t xml:space="preserve">Granular triple superphosphate storage building. </w:t>
      </w:r>
      <w:r w:rsidRPr="00470E91">
        <w:rPr>
          <w:rFonts w:ascii="Book Antiqua" w:eastAsia="Times New Roman" w:hAnsi="Book Antiqua" w:cs="Arial"/>
          <w:sz w:val="16"/>
          <w:szCs w:val="16"/>
        </w:rPr>
        <w:t>(1) 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 (5.0×10</w:t>
      </w:r>
      <w:r w:rsidRPr="00470E91">
        <w:rPr>
          <w:rFonts w:ascii="Book Antiqua" w:eastAsia="Times New Roman" w:hAnsi="Book Antiqua" w:cs="Arial"/>
          <w:sz w:val="16"/>
          <w:szCs w:val="16"/>
          <w:vertAlign w:val="superscript"/>
        </w:rPr>
        <w:t>−4</w:t>
      </w:r>
      <w:r w:rsidRPr="00470E91">
        <w:rPr>
          <w:rFonts w:ascii="Book Antiqua" w:eastAsia="Times New Roman" w:hAnsi="Book Antiqua" w:cs="Arial"/>
          <w:sz w:val="16"/>
          <w:szCs w:val="16"/>
        </w:rPr>
        <w:t>lb/hr/ton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lastRenderedPageBreak/>
        <w:t>(2) No owner or operator subject to the provisions of this subpart shall ship fresh granular triple superphosphate from an affected facility.</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63.624   Operating requirements.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On or after the date on which the performance test required to be conducted by §§63.7 and 63.626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§63.625(f</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 or (2).</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[67 FR 40818, June 13, 2002]</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63.625   Monitoring requirements.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(a) Each owner or operator of a new or existing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or granular triple superphosphate process line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(b) Each owner or operator of a new or existing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or granular triple superphosphate process line subject to the provisions of this subpart shall maintain a daily record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feed by first determining the total mass rate in metric ton/hour of phosphorus bearing feed using a monitoring system for measuring mass </w:t>
      </w:r>
      <w:proofErr w:type="spellStart"/>
      <w:r w:rsidRPr="00470E91">
        <w:rPr>
          <w:rFonts w:ascii="Book Antiqua" w:eastAsia="Times New Roman" w:hAnsi="Book Antiqua" w:cs="Arial"/>
          <w:sz w:val="16"/>
          <w:szCs w:val="16"/>
        </w:rPr>
        <w:t>flowrate</w:t>
      </w:r>
      <w:proofErr w:type="spellEnd"/>
      <w:r w:rsidRPr="00470E91">
        <w:rPr>
          <w:rFonts w:ascii="Book Antiqua" w:eastAsia="Times New Roman" w:hAnsi="Book Antiqua" w:cs="Arial"/>
          <w:sz w:val="16"/>
          <w:szCs w:val="16"/>
        </w:rPr>
        <w:t xml:space="preserve"> which meets the requirements of paragraph (a) of this section and then by proceeding according to §63.626(c</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3).</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(c) Each owner or operator of a new or existing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granular triple superphosphate process line, or granular triple superphosphate storage building using a wet scrubbing emission control system shall install, calibrate, maintain, and operate the following monitoring systems: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(1) 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(d) The owner or operator of any granular triple superphosphate storage building subject to the provisions of this subpart shall maintain an accurate account of granular triple superphosphate in storage to permit the determination of the amount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(e)(1) Each owner or operator of a new or existing granular triple superphosphate storage building subject to the provisions of this subpart shall maintain a daily record of total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 by multiplying the percentage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as determined by §63.626(d)(3), times the total mass of granular triple superphosphate stored.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The owner or operator of any granular triple superphosphate storage building subject to the provisions of this subpart shall develop for approval by the Administrator a site-specific methodology including sufficient recordkeeping for the purposes of demonstrating compliance with §63.622(c)(2) or §63.623(c)(2), as applicable.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(f) Following the date on which the performance test required in §63.626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(f</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 or (2) of this section:</w:t>
      </w:r>
    </w:p>
    <w:p w:rsidR="00433252" w:rsidRDefault="00433252">
      <w:pPr>
        <w:rPr>
          <w:rFonts w:ascii="Book Antiqua" w:eastAsia="Times New Roman" w:hAnsi="Book Antiqua" w:cs="Arial"/>
          <w:sz w:val="16"/>
          <w:szCs w:val="16"/>
        </w:rPr>
      </w:pPr>
      <w:r>
        <w:rPr>
          <w:rFonts w:ascii="Book Antiqua" w:eastAsia="Times New Roman" w:hAnsi="Book Antiqua" w:cs="Arial"/>
          <w:sz w:val="16"/>
          <w:szCs w:val="16"/>
        </w:rPr>
        <w:br w:type="page"/>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(1) The allowable range for the daily averages of the pressure drop across each scrubber and of the flow rate of the scrubbing liquid to each scrubber in the process scrubbing system is ±20 percent of the baseline average value determined as a requirement of §63.626(c)(4) or (d)(4).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§§63.627(c)(1),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§63.626(c</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4) or (d)(4). As an alternative, the owner or operator can establish the allowable ranges using the results of performance tests conducted specifically for the purposes of this paragraph using the test methods required in this subpart and established in the manner required in §63.626(c)(4) or (d)(4).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[64 FR 31382, June 10, 1999, as amended at 67 FR 65077, Dec. 17, 2001]</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63.626   Performance tests and compliance provisions.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(a)(1) On or before the applicable compliance date in §63.630 and once per annum thereafter, each owner or operator of a phosphate fertilizers production plant subject to the provisions of this subpart shall conduct a performance test to demonstrate compliance with the applicable emission standard for each existing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granular triple superphosphate process line, or granular triple superphosphate storage building. The owner or operator shall conduct the performance test according to the procedures in subpart A of this part and in this section.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As required by §63.7(a</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 xml:space="preserve">2) and once per annum thereafter, each owner or operator of a phosphate fertilizers production plant subject to the provisions of this subpart shall conduct a performance test to demonstrate compliance with the applicable emission standard for each new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granular triple superphosphate process line, or granular triple superphosphate storage building. The owner or operator shall conduct the performance test according to the procedures in subpart A of this part and in this section.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In conducting performance tests, each owner or operator of an affected source shall use as reference methods and procedures the test methods in 40 CFR part 60, appendix A, or other methods and procedures as specified in this section, except as provided in §63.7(f).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(c) Each owner or operator of a new or existing </w:t>
      </w:r>
      <w:proofErr w:type="spellStart"/>
      <w:r w:rsidRPr="00470E91">
        <w:rPr>
          <w:rFonts w:ascii="Book Antiqua" w:eastAsia="Times New Roman" w:hAnsi="Book Antiqua" w:cs="Arial"/>
          <w:sz w:val="16"/>
          <w:szCs w:val="16"/>
        </w:rPr>
        <w:t>diammonium</w:t>
      </w:r>
      <w:proofErr w:type="spellEnd"/>
      <w:r w:rsidRPr="00470E91">
        <w:rPr>
          <w:rFonts w:ascii="Book Antiqua" w:eastAsia="Times New Roman" w:hAnsi="Book Antiqua" w:cs="Arial"/>
          <w:sz w:val="16"/>
          <w:szCs w:val="16"/>
        </w:rPr>
        <w:t xml:space="preserve"> and/or </w:t>
      </w:r>
      <w:proofErr w:type="spellStart"/>
      <w:r w:rsidRPr="00470E91">
        <w:rPr>
          <w:rFonts w:ascii="Book Antiqua" w:eastAsia="Times New Roman" w:hAnsi="Book Antiqua" w:cs="Arial"/>
          <w:sz w:val="16"/>
          <w:szCs w:val="16"/>
        </w:rPr>
        <w:t>monoammonium</w:t>
      </w:r>
      <w:proofErr w:type="spellEnd"/>
      <w:r w:rsidRPr="00470E91">
        <w:rPr>
          <w:rFonts w:ascii="Book Antiqua" w:eastAsia="Times New Roman" w:hAnsi="Book Antiqua" w:cs="Arial"/>
          <w:sz w:val="16"/>
          <w:szCs w:val="16"/>
        </w:rPr>
        <w:t xml:space="preserve"> phosphate process line or granular triple superphosphate process line shall determine compliance with the applicable total fluorides standards in §63.622 or §63.623 as follows: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(1) The emission rate (E) of total fluorides shall be computed for each run using the following equation:</w:t>
      </w:r>
    </w:p>
    <w:p w:rsidR="00470E91" w:rsidRPr="00470E91" w:rsidRDefault="00470E91" w:rsidP="00470E91">
      <w:pPr>
        <w:spacing w:after="0" w:line="240" w:lineRule="auto"/>
        <w:rPr>
          <w:rFonts w:ascii="Book Antiqua" w:eastAsia="Times New Roman" w:hAnsi="Book Antiqua" w:cs="Arial"/>
          <w:sz w:val="16"/>
          <w:szCs w:val="16"/>
        </w:rPr>
      </w:pPr>
      <w:r w:rsidRPr="00470E91">
        <w:rPr>
          <w:rFonts w:ascii="Book Antiqua" w:eastAsia="Times New Roman" w:hAnsi="Book Antiqua" w:cs="Arial"/>
          <w:noProof/>
          <w:sz w:val="16"/>
          <w:szCs w:val="16"/>
        </w:rPr>
        <w:drawing>
          <wp:inline distT="0" distB="0" distL="0" distR="0">
            <wp:extent cx="1088390" cy="342265"/>
            <wp:effectExtent l="19050" t="0" r="0" b="0"/>
            <wp:docPr id="1" name="Picture 1" descr="http://www.access.gpo.gov/ecfr/graphics/er10jn9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0jn99.001.gif"/>
                    <pic:cNvPicPr>
                      <a:picLocks noChangeAspect="1" noChangeArrowheads="1"/>
                    </pic:cNvPicPr>
                  </pic:nvPicPr>
                  <pic:blipFill>
                    <a:blip r:embed="rId8" cstate="print"/>
                    <a:srcRect/>
                    <a:stretch>
                      <a:fillRect/>
                    </a:stretch>
                  </pic:blipFill>
                  <pic:spPr bwMode="auto">
                    <a:xfrm>
                      <a:off x="0" y="0"/>
                      <a:ext cx="1088390" cy="342265"/>
                    </a:xfrm>
                    <a:prstGeom prst="rect">
                      <a:avLst/>
                    </a:prstGeom>
                    <a:noFill/>
                    <a:ln w="9525">
                      <a:noFill/>
                      <a:miter lim="800000"/>
                      <a:headEnd/>
                      <a:tailEnd/>
                    </a:ln>
                  </pic:spPr>
                </pic:pic>
              </a:graphicData>
            </a:graphic>
          </wp:inline>
        </w:drawing>
      </w:r>
    </w:p>
    <w:p w:rsidR="00470E91" w:rsidRPr="00470E91" w:rsidRDefault="00624808" w:rsidP="00470E91">
      <w:pPr>
        <w:spacing w:before="100" w:beforeAutospacing="1" w:after="100" w:afterAutospacing="1" w:line="240" w:lineRule="auto"/>
        <w:rPr>
          <w:rFonts w:ascii="Book Antiqua" w:eastAsia="Times New Roman" w:hAnsi="Book Antiqua" w:cs="Times New Roman"/>
          <w:sz w:val="16"/>
          <w:szCs w:val="16"/>
        </w:rPr>
      </w:pPr>
      <w:hyperlink r:id="rId9" w:history="1">
        <w:r w:rsidR="00470E91" w:rsidRPr="00470E91">
          <w:rPr>
            <w:rFonts w:ascii="Book Antiqua" w:eastAsia="Times New Roman" w:hAnsi="Book Antiqua" w:cs="Arial"/>
            <w:color w:val="0000FF"/>
            <w:sz w:val="16"/>
            <w:szCs w:val="16"/>
            <w:u w:val="single"/>
          </w:rPr>
          <w:t>View or download PDF</w:t>
        </w:r>
      </w:hyperlink>
      <w:r w:rsidR="00470E91" w:rsidRPr="00470E91">
        <w:rPr>
          <w:rFonts w:ascii="Book Antiqua" w:eastAsia="Times New Roman" w:hAnsi="Book Antiqua" w:cs="Arial"/>
          <w:sz w:val="16"/>
          <w:szCs w:val="16"/>
        </w:rPr>
        <w:t xml:space="preserve"> </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Where: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E = emission rate of total fluorides, g/metric ton (lb/ton)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C</w:t>
      </w:r>
      <w:r w:rsidRPr="00470E91">
        <w:rPr>
          <w:rFonts w:ascii="Book Antiqua" w:eastAsia="Times New Roman" w:hAnsi="Book Antiqua" w:cs="Arial"/>
          <w:sz w:val="16"/>
          <w:szCs w:val="16"/>
          <w:vertAlign w:val="subscript"/>
        </w:rPr>
        <w:t>si</w:t>
      </w:r>
      <w:proofErr w:type="spellEnd"/>
      <w:r w:rsidRPr="00470E91">
        <w:rPr>
          <w:rFonts w:ascii="Book Antiqua" w:eastAsia="Times New Roman" w:hAnsi="Book Antiqua" w:cs="Arial"/>
          <w:sz w:val="16"/>
          <w:szCs w:val="16"/>
        </w:rPr>
        <w:t>= concentration of total fluorides from emission point “</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mg/</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 xml:space="preserve"> (mg/dscf).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Q</w:t>
      </w:r>
      <w:r w:rsidRPr="00470E91">
        <w:rPr>
          <w:rFonts w:ascii="Book Antiqua" w:eastAsia="Times New Roman" w:hAnsi="Book Antiqua" w:cs="Arial"/>
          <w:sz w:val="16"/>
          <w:szCs w:val="16"/>
          <w:vertAlign w:val="subscript"/>
        </w:rPr>
        <w:t>sdi</w:t>
      </w:r>
      <w:proofErr w:type="spellEnd"/>
      <w:r w:rsidRPr="00470E91">
        <w:rPr>
          <w:rFonts w:ascii="Book Antiqua" w:eastAsia="Times New Roman" w:hAnsi="Book Antiqua" w:cs="Arial"/>
          <w:sz w:val="16"/>
          <w:szCs w:val="16"/>
        </w:rPr>
        <w:t>= volumetric flow rate of effluent gas from emission point “</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/hr (dscf/hr).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N = number of emission points associated with the affected facility.</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P =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rate, metric ton/hr (ton/hr).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K = conversion factor, 1000 mg/g (453,600 mg/lb).</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Method 13A or 13B (40 CFR part 60, appendix A) shall be used to determine the total fluorides concentration (</w:t>
      </w:r>
      <w:proofErr w:type="spellStart"/>
      <w:r w:rsidRPr="00470E91">
        <w:rPr>
          <w:rFonts w:ascii="Book Antiqua" w:eastAsia="Times New Roman" w:hAnsi="Book Antiqua" w:cs="Arial"/>
          <w:sz w:val="16"/>
          <w:szCs w:val="16"/>
        </w:rPr>
        <w:t>C</w:t>
      </w:r>
      <w:r w:rsidRPr="00470E91">
        <w:rPr>
          <w:rFonts w:ascii="Book Antiqua" w:eastAsia="Times New Roman" w:hAnsi="Book Antiqua" w:cs="Arial"/>
          <w:sz w:val="16"/>
          <w:szCs w:val="16"/>
          <w:vertAlign w:val="subscript"/>
        </w:rPr>
        <w:t>si</w:t>
      </w:r>
      <w:proofErr w:type="spellEnd"/>
      <w:r w:rsidRPr="00470E91">
        <w:rPr>
          <w:rFonts w:ascii="Book Antiqua" w:eastAsia="Times New Roman" w:hAnsi="Book Antiqua" w:cs="Arial"/>
          <w:sz w:val="16"/>
          <w:szCs w:val="16"/>
        </w:rPr>
        <w:t>) and volumetric flow rate (</w:t>
      </w:r>
      <w:proofErr w:type="spellStart"/>
      <w:r w:rsidRPr="00470E91">
        <w:rPr>
          <w:rFonts w:ascii="Book Antiqua" w:eastAsia="Times New Roman" w:hAnsi="Book Antiqua" w:cs="Arial"/>
          <w:sz w:val="16"/>
          <w:szCs w:val="16"/>
        </w:rPr>
        <w:t>Q</w:t>
      </w:r>
      <w:r w:rsidRPr="00470E91">
        <w:rPr>
          <w:rFonts w:ascii="Book Antiqua" w:eastAsia="Times New Roman" w:hAnsi="Book Antiqua" w:cs="Arial"/>
          <w:sz w:val="16"/>
          <w:szCs w:val="16"/>
          <w:vertAlign w:val="subscript"/>
        </w:rPr>
        <w:t>sdi</w:t>
      </w:r>
      <w:proofErr w:type="spellEnd"/>
      <w:r w:rsidRPr="00470E91">
        <w:rPr>
          <w:rFonts w:ascii="Book Antiqua" w:eastAsia="Times New Roman" w:hAnsi="Book Antiqua" w:cs="Arial"/>
          <w:sz w:val="16"/>
          <w:szCs w:val="16"/>
        </w:rPr>
        <w:t xml:space="preserve">) of the effluent gas from each of the emission points. If Method 13 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 xml:space="preserve"> (30 dscf).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(3) The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rate (P) shall be computed using the following equation: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P = </w:t>
      </w:r>
      <w:proofErr w:type="spellStart"/>
      <w:r w:rsidRPr="00470E91">
        <w:rPr>
          <w:rFonts w:ascii="Book Antiqua" w:eastAsia="Times New Roman" w:hAnsi="Book Antiqua" w:cs="Arial"/>
          <w:sz w:val="16"/>
          <w:szCs w:val="16"/>
        </w:rPr>
        <w:t>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Where: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 total mass flow rate of phosphorus-bearing feed, metric ton/hr (ton/hr).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r w:rsidRPr="00470E91">
        <w:rPr>
          <w:rFonts w:ascii="Book Antiqua" w:eastAsia="Times New Roman" w:hAnsi="Book Antiqua" w:cs="Arial"/>
          <w:sz w:val="16"/>
          <w:szCs w:val="16"/>
        </w:rPr>
        <w: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decimal fraction.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The accountability system described in §63.625(a) and (b) shall be used to determine the mass flow rate (M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 of the phosphorus-bearing feed.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(ii) The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w:t>
      </w:r>
      <w:proofErr w:type="spellStart"/>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r w:rsidRPr="00470E91">
        <w:rPr>
          <w:rFonts w:ascii="Book Antiqua" w:eastAsia="Times New Roman" w:hAnsi="Book Antiqua" w:cs="Arial"/>
          <w:sz w:val="16"/>
          <w:szCs w:val="16"/>
        </w:rPr>
        <w:t>) of the feed shall be determined using as appropriate the following methods (incorporated by reference—see 40 CFR 63.14) specified in the Book of Methods Used and Adopted By The Association Of Florida Phosphate Chemists, Seventh Edition 1991, where applicable: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Section IX, Methods of Analysis for Phosphate Rock, No. 1 Preparation of Sample.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Section IX, Methods of Analysis for Phosphate Rock, No. 3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or </w:t>
      </w:r>
      <w:proofErr w:type="gramStart"/>
      <w:r w:rsidRPr="00470E91">
        <w:rPr>
          <w:rFonts w:ascii="Book Antiqua" w:eastAsia="Times New Roman" w:hAnsi="Book Antiqua" w:cs="Arial"/>
          <w:sz w:val="16"/>
          <w:szCs w:val="16"/>
        </w:rPr>
        <w:t>Ca</w:t>
      </w:r>
      <w:r w:rsidRPr="00470E91">
        <w:rPr>
          <w:rFonts w:ascii="Book Antiqua" w:eastAsia="Times New Roman" w:hAnsi="Book Antiqua" w:cs="Arial"/>
          <w:sz w:val="16"/>
          <w:szCs w:val="16"/>
          <w:vertAlign w:val="subscript"/>
        </w:rPr>
        <w:t>3</w:t>
      </w:r>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PO</w:t>
      </w:r>
      <w:r w:rsidRPr="00470E91">
        <w:rPr>
          <w:rFonts w:ascii="Book Antiqua" w:eastAsia="Times New Roman" w:hAnsi="Book Antiqua" w:cs="Arial"/>
          <w:sz w:val="16"/>
          <w:szCs w:val="16"/>
          <w:vertAlign w:val="subscript"/>
        </w:rPr>
        <w:t>4</w:t>
      </w:r>
      <w:r w:rsidRPr="00470E91">
        <w:rPr>
          <w:rFonts w:ascii="Book Antiqua" w:eastAsia="Times New Roman" w:hAnsi="Book Antiqua" w:cs="Arial"/>
          <w:sz w:val="16"/>
          <w:szCs w:val="16"/>
        </w:rPr>
        <w:t>)</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 Method A—Volumetric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Section IX, Methods of Analysis For Phosphate Rock, No. 3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or </w:t>
      </w:r>
      <w:proofErr w:type="gramStart"/>
      <w:r w:rsidRPr="00470E91">
        <w:rPr>
          <w:rFonts w:ascii="Book Antiqua" w:eastAsia="Times New Roman" w:hAnsi="Book Antiqua" w:cs="Arial"/>
          <w:sz w:val="16"/>
          <w:szCs w:val="16"/>
        </w:rPr>
        <w:t>Ca</w:t>
      </w:r>
      <w:r w:rsidRPr="00470E91">
        <w:rPr>
          <w:rFonts w:ascii="Book Antiqua" w:eastAsia="Times New Roman" w:hAnsi="Book Antiqua" w:cs="Arial"/>
          <w:sz w:val="16"/>
          <w:szCs w:val="16"/>
          <w:vertAlign w:val="subscript"/>
        </w:rPr>
        <w:t>3</w:t>
      </w:r>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PO</w:t>
      </w:r>
      <w:r w:rsidRPr="00470E91">
        <w:rPr>
          <w:rFonts w:ascii="Book Antiqua" w:eastAsia="Times New Roman" w:hAnsi="Book Antiqua" w:cs="Arial"/>
          <w:sz w:val="16"/>
          <w:szCs w:val="16"/>
          <w:vertAlign w:val="subscript"/>
        </w:rPr>
        <w:t>4</w:t>
      </w:r>
      <w:r w:rsidRPr="00470E91">
        <w:rPr>
          <w:rFonts w:ascii="Book Antiqua" w:eastAsia="Times New Roman" w:hAnsi="Book Antiqua" w:cs="Arial"/>
          <w:sz w:val="16"/>
          <w:szCs w:val="16"/>
        </w:rPr>
        <w:t>)</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 xml:space="preserve">, Method B—Gravimetric </w:t>
      </w:r>
      <w:proofErr w:type="spellStart"/>
      <w:r w:rsidRPr="00470E91">
        <w:rPr>
          <w:rFonts w:ascii="Book Antiqua" w:eastAsia="Times New Roman" w:hAnsi="Book Antiqua" w:cs="Arial"/>
          <w:sz w:val="16"/>
          <w:szCs w:val="16"/>
        </w:rPr>
        <w:t>Quimociac</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(D) Section IX, Methods of Analysis For Phosphate Rock, No. 3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or </w:t>
      </w:r>
      <w:proofErr w:type="gramStart"/>
      <w:r w:rsidRPr="00470E91">
        <w:rPr>
          <w:rFonts w:ascii="Book Antiqua" w:eastAsia="Times New Roman" w:hAnsi="Book Antiqua" w:cs="Arial"/>
          <w:sz w:val="16"/>
          <w:szCs w:val="16"/>
        </w:rPr>
        <w:t>Ca3(</w:t>
      </w:r>
      <w:proofErr w:type="gramEnd"/>
      <w:r w:rsidRPr="00470E91">
        <w:rPr>
          <w:rFonts w:ascii="Book Antiqua" w:eastAsia="Times New Roman" w:hAnsi="Book Antiqua" w:cs="Arial"/>
          <w:sz w:val="16"/>
          <w:szCs w:val="16"/>
        </w:rPr>
        <w:t>PO</w:t>
      </w:r>
      <w:r w:rsidRPr="00470E91">
        <w:rPr>
          <w:rFonts w:ascii="Book Antiqua" w:eastAsia="Times New Roman" w:hAnsi="Book Antiqua" w:cs="Arial"/>
          <w:sz w:val="16"/>
          <w:szCs w:val="16"/>
          <w:vertAlign w:val="subscript"/>
        </w:rPr>
        <w:t>4</w:t>
      </w:r>
      <w:r w:rsidRPr="00470E91">
        <w:rPr>
          <w:rFonts w:ascii="Book Antiqua" w:eastAsia="Times New Roman" w:hAnsi="Book Antiqua" w:cs="Arial"/>
          <w:sz w:val="16"/>
          <w:szCs w:val="16"/>
        </w:rPr>
        <w:t>)</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 Method C—</w:t>
      </w:r>
      <w:proofErr w:type="spellStart"/>
      <w:r w:rsidRPr="00470E91">
        <w:rPr>
          <w:rFonts w:ascii="Book Antiqua" w:eastAsia="Times New Roman" w:hAnsi="Book Antiqua" w:cs="Arial"/>
          <w:sz w:val="16"/>
          <w:szCs w:val="16"/>
        </w:rPr>
        <w:t>Spectrophotometric</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(E) Section XI, Methods of Analysis </w:t>
      </w:r>
      <w:proofErr w:type="gramStart"/>
      <w:r w:rsidRPr="00470E91">
        <w:rPr>
          <w:rFonts w:ascii="Book Antiqua" w:eastAsia="Times New Roman" w:hAnsi="Book Antiqua" w:cs="Arial"/>
          <w:sz w:val="16"/>
          <w:szCs w:val="16"/>
        </w:rPr>
        <w:t>For</w:t>
      </w:r>
      <w:proofErr w:type="gramEnd"/>
      <w:r w:rsidRPr="00470E91">
        <w:rPr>
          <w:rFonts w:ascii="Book Antiqua" w:eastAsia="Times New Roman" w:hAnsi="Book Antiqua" w:cs="Arial"/>
          <w:sz w:val="16"/>
          <w:szCs w:val="16"/>
        </w:rPr>
        <w:t xml:space="preserve">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Method A—Volumetric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(F) Section XI, Methods of Analysis For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 Method B—Gravimetric </w:t>
      </w:r>
      <w:proofErr w:type="spellStart"/>
      <w:r w:rsidRPr="00470E91">
        <w:rPr>
          <w:rFonts w:ascii="Book Antiqua" w:eastAsia="Times New Roman" w:hAnsi="Book Antiqua" w:cs="Arial"/>
          <w:sz w:val="16"/>
          <w:szCs w:val="16"/>
        </w:rPr>
        <w:t>Quimociac</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(G) Section XI, Methods of Analysis for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Method C—</w:t>
      </w:r>
      <w:proofErr w:type="spellStart"/>
      <w:r w:rsidRPr="00470E91">
        <w:rPr>
          <w:rFonts w:ascii="Book Antiqua" w:eastAsia="Times New Roman" w:hAnsi="Book Antiqua" w:cs="Arial"/>
          <w:sz w:val="16"/>
          <w:szCs w:val="16"/>
        </w:rPr>
        <w:t>Spectrophotometric</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(4) To comply with §63.625(f</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 or (2), the owner or operator shall use the monitoring systems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 or (2).</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(d) Each owner or operator of a new or existing granular triple superphosphate storage building shall determine compliance with the applicable total fluorides standards in §63.622 or §63.623 as follows: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(1) The owner or operator shall conduct performance tests only when the following quantities of product are being cured or stored in the facility.</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Total granular triple superphosphate is at least 10 percent of the building capacity, and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(ii) Fresh granular triple superphosphate is at least six percent of the total amount of granular triple superphosphate, or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(iii) If the provision in paragraph (d</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1)(ii) of this section exceeds production capabilities for fresh granular triple superphosphate, fresh granular triple superphosphate is equal to at least 5 days maximum production.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In conducting the performance test, the owner or operator shall use as reference methods and procedures the test methods in 40 CFR part 60, appendix A, or other methods and procedures as specified in this section, except as provided in §63.7(f).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(3) The owner or operator shall determine compliance with the total fluorides standard in §§63.622 and 63.623 as follows: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The emission rate (E) of total fluorides shall be computed for each run using the following equation:</w:t>
      </w:r>
    </w:p>
    <w:p w:rsidR="00470E91" w:rsidRPr="00470E91" w:rsidRDefault="00470E91" w:rsidP="00470E91">
      <w:pPr>
        <w:spacing w:after="0" w:line="240" w:lineRule="auto"/>
        <w:rPr>
          <w:rFonts w:ascii="Book Antiqua" w:eastAsia="Times New Roman" w:hAnsi="Book Antiqua" w:cs="Arial"/>
          <w:sz w:val="16"/>
          <w:szCs w:val="16"/>
        </w:rPr>
      </w:pPr>
      <w:r w:rsidRPr="00470E91">
        <w:rPr>
          <w:rFonts w:ascii="Book Antiqua" w:eastAsia="Times New Roman" w:hAnsi="Book Antiqua" w:cs="Arial"/>
          <w:noProof/>
          <w:sz w:val="16"/>
          <w:szCs w:val="16"/>
        </w:rPr>
        <w:drawing>
          <wp:inline distT="0" distB="0" distL="0" distR="0">
            <wp:extent cx="1088390" cy="342265"/>
            <wp:effectExtent l="19050" t="0" r="0" b="0"/>
            <wp:docPr id="2" name="Picture 2" descr="http://www.access.gpo.gov/ecfr/graphics/er10jn99.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0jn99.002.gif"/>
                    <pic:cNvPicPr>
                      <a:picLocks noChangeAspect="1" noChangeArrowheads="1"/>
                    </pic:cNvPicPr>
                  </pic:nvPicPr>
                  <pic:blipFill>
                    <a:blip r:embed="rId8" cstate="print"/>
                    <a:srcRect/>
                    <a:stretch>
                      <a:fillRect/>
                    </a:stretch>
                  </pic:blipFill>
                  <pic:spPr bwMode="auto">
                    <a:xfrm>
                      <a:off x="0" y="0"/>
                      <a:ext cx="1088390" cy="342265"/>
                    </a:xfrm>
                    <a:prstGeom prst="rect">
                      <a:avLst/>
                    </a:prstGeom>
                    <a:noFill/>
                    <a:ln w="9525">
                      <a:noFill/>
                      <a:miter lim="800000"/>
                      <a:headEnd/>
                      <a:tailEnd/>
                    </a:ln>
                  </pic:spPr>
                </pic:pic>
              </a:graphicData>
            </a:graphic>
          </wp:inline>
        </w:drawing>
      </w:r>
    </w:p>
    <w:p w:rsidR="00470E91" w:rsidRPr="00470E91" w:rsidRDefault="00624808" w:rsidP="00470E91">
      <w:pPr>
        <w:spacing w:before="100" w:beforeAutospacing="1" w:after="100" w:afterAutospacing="1" w:line="240" w:lineRule="auto"/>
        <w:rPr>
          <w:rFonts w:ascii="Book Antiqua" w:eastAsia="Times New Roman" w:hAnsi="Book Antiqua" w:cs="Times New Roman"/>
          <w:sz w:val="16"/>
          <w:szCs w:val="16"/>
        </w:rPr>
      </w:pPr>
      <w:hyperlink r:id="rId10" w:history="1">
        <w:r w:rsidR="00470E91" w:rsidRPr="00470E91">
          <w:rPr>
            <w:rFonts w:ascii="Book Antiqua" w:eastAsia="Times New Roman" w:hAnsi="Book Antiqua" w:cs="Arial"/>
            <w:color w:val="0000FF"/>
            <w:sz w:val="16"/>
            <w:szCs w:val="16"/>
            <w:u w:val="single"/>
          </w:rPr>
          <w:t>View or download PDF</w:t>
        </w:r>
      </w:hyperlink>
      <w:r w:rsidR="00470E91" w:rsidRPr="00470E91">
        <w:rPr>
          <w:rFonts w:ascii="Book Antiqua" w:eastAsia="Times New Roman" w:hAnsi="Book Antiqua" w:cs="Arial"/>
          <w:sz w:val="16"/>
          <w:szCs w:val="16"/>
        </w:rPr>
        <w:t xml:space="preserve"> </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Where: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E = emission rate of total fluorides, g/hr/metric ton (lb/hr/ton) of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C</w:t>
      </w:r>
      <w:r w:rsidRPr="00470E91">
        <w:rPr>
          <w:rFonts w:ascii="Book Antiqua" w:eastAsia="Times New Roman" w:hAnsi="Book Antiqua" w:cs="Arial"/>
          <w:sz w:val="16"/>
          <w:szCs w:val="16"/>
          <w:vertAlign w:val="subscript"/>
        </w:rPr>
        <w:t>si</w:t>
      </w:r>
      <w:proofErr w:type="spellEnd"/>
      <w:r w:rsidRPr="00470E91">
        <w:rPr>
          <w:rFonts w:ascii="Book Antiqua" w:eastAsia="Times New Roman" w:hAnsi="Book Antiqua" w:cs="Arial"/>
          <w:sz w:val="16"/>
          <w:szCs w:val="16"/>
        </w:rPr>
        <w:t>= concentration of total fluorides from emission point “</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mg/</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 xml:space="preserve"> (mg/dscf).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Q</w:t>
      </w:r>
      <w:r w:rsidRPr="00470E91">
        <w:rPr>
          <w:rFonts w:ascii="Book Antiqua" w:eastAsia="Times New Roman" w:hAnsi="Book Antiqua" w:cs="Arial"/>
          <w:sz w:val="16"/>
          <w:szCs w:val="16"/>
          <w:vertAlign w:val="subscript"/>
        </w:rPr>
        <w:t>sdi</w:t>
      </w:r>
      <w:proofErr w:type="spellEnd"/>
      <w:r w:rsidRPr="00470E91">
        <w:rPr>
          <w:rFonts w:ascii="Book Antiqua" w:eastAsia="Times New Roman" w:hAnsi="Book Antiqua" w:cs="Arial"/>
          <w:sz w:val="16"/>
          <w:szCs w:val="16"/>
        </w:rPr>
        <w:t>= volumetric flow rate of effluent gas from emission point “</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/hr (dscf/hr).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N = number of emission points in the affected facility.</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P =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stored, metric tons (tons).</w:t>
      </w:r>
    </w:p>
    <w:p w:rsidR="00433252" w:rsidRDefault="00433252">
      <w:pPr>
        <w:rPr>
          <w:rFonts w:ascii="Book Antiqua" w:eastAsia="Times New Roman" w:hAnsi="Book Antiqua" w:cs="Arial"/>
          <w:sz w:val="16"/>
          <w:szCs w:val="16"/>
        </w:rPr>
      </w:pPr>
      <w:r>
        <w:rPr>
          <w:rFonts w:ascii="Book Antiqua" w:eastAsia="Times New Roman" w:hAnsi="Book Antiqua" w:cs="Arial"/>
          <w:sz w:val="16"/>
          <w:szCs w:val="16"/>
        </w:rPr>
        <w:br w:type="page"/>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K = conversion factor, 1000 mg/g (453,600 mg/lb).</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(ii) Method 13A or 13B (40 CFR part 60, appendix A) shall be used to determine the total fluorides concentration (</w:t>
      </w:r>
      <w:proofErr w:type="spellStart"/>
      <w:r w:rsidRPr="00470E91">
        <w:rPr>
          <w:rFonts w:ascii="Book Antiqua" w:eastAsia="Times New Roman" w:hAnsi="Book Antiqua" w:cs="Arial"/>
          <w:sz w:val="16"/>
          <w:szCs w:val="16"/>
        </w:rPr>
        <w:t>C</w:t>
      </w:r>
      <w:r w:rsidRPr="00470E91">
        <w:rPr>
          <w:rFonts w:ascii="Book Antiqua" w:eastAsia="Times New Roman" w:hAnsi="Book Antiqua" w:cs="Arial"/>
          <w:sz w:val="16"/>
          <w:szCs w:val="16"/>
          <w:vertAlign w:val="subscript"/>
        </w:rPr>
        <w:t>si</w:t>
      </w:r>
      <w:proofErr w:type="spellEnd"/>
      <w:r w:rsidRPr="00470E91">
        <w:rPr>
          <w:rFonts w:ascii="Book Antiqua" w:eastAsia="Times New Roman" w:hAnsi="Book Antiqua" w:cs="Arial"/>
          <w:sz w:val="16"/>
          <w:szCs w:val="16"/>
        </w:rPr>
        <w:t>) and volumetric flow rate (</w:t>
      </w:r>
      <w:proofErr w:type="spellStart"/>
      <w:r w:rsidRPr="00470E91">
        <w:rPr>
          <w:rFonts w:ascii="Book Antiqua" w:eastAsia="Times New Roman" w:hAnsi="Book Antiqua" w:cs="Arial"/>
          <w:sz w:val="16"/>
          <w:szCs w:val="16"/>
        </w:rPr>
        <w:t>Q</w:t>
      </w:r>
      <w:r w:rsidRPr="00470E91">
        <w:rPr>
          <w:rFonts w:ascii="Book Antiqua" w:eastAsia="Times New Roman" w:hAnsi="Book Antiqua" w:cs="Arial"/>
          <w:sz w:val="16"/>
          <w:szCs w:val="16"/>
          <w:vertAlign w:val="subscript"/>
        </w:rPr>
        <w:t>sdi</w:t>
      </w:r>
      <w:proofErr w:type="spellEnd"/>
      <w:r w:rsidRPr="00470E91">
        <w:rPr>
          <w:rFonts w:ascii="Book Antiqua" w:eastAsia="Times New Roman" w:hAnsi="Book Antiqua" w:cs="Arial"/>
          <w:sz w:val="16"/>
          <w:szCs w:val="16"/>
        </w:rPr>
        <w:t xml:space="preserve">) of the effluent gas from each of the emission points. If Method 13B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w:t>
      </w:r>
      <w:proofErr w:type="spellStart"/>
      <w:r w:rsidRPr="00470E91">
        <w:rPr>
          <w:rFonts w:ascii="Book Antiqua" w:eastAsia="Times New Roman" w:hAnsi="Book Antiqua" w:cs="Arial"/>
          <w:sz w:val="16"/>
          <w:szCs w:val="16"/>
        </w:rPr>
        <w:t>dscm</w:t>
      </w:r>
      <w:proofErr w:type="spellEnd"/>
      <w:r w:rsidRPr="00470E91">
        <w:rPr>
          <w:rFonts w:ascii="Book Antiqua" w:eastAsia="Times New Roman" w:hAnsi="Book Antiqua" w:cs="Arial"/>
          <w:sz w:val="16"/>
          <w:szCs w:val="16"/>
        </w:rPr>
        <w:t xml:space="preserve"> (30 dscf).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(iii) The equivalent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feed rate (P) shall be computed using the following equation: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P = </w:t>
      </w:r>
      <w:proofErr w:type="spellStart"/>
      <w:r w:rsidRPr="00470E91">
        <w:rPr>
          <w:rFonts w:ascii="Book Antiqua" w:eastAsia="Times New Roman" w:hAnsi="Book Antiqua" w:cs="Arial"/>
          <w:sz w:val="16"/>
          <w:szCs w:val="16"/>
        </w:rPr>
        <w:t>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Where: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 amount of product in storage, metric ton (ton).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spellStart"/>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r w:rsidRPr="00470E91">
        <w:rPr>
          <w:rFonts w:ascii="Book Antiqua" w:eastAsia="Times New Roman" w:hAnsi="Book Antiqua" w:cs="Arial"/>
          <w:sz w:val="16"/>
          <w:szCs w:val="16"/>
        </w:rPr>
        <w:t>=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of product in storage, weight fraction.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gramStart"/>
      <w:r w:rsidRPr="00470E91">
        <w:rPr>
          <w:rFonts w:ascii="Book Antiqua" w:eastAsia="Times New Roman" w:hAnsi="Book Antiqua" w:cs="Arial"/>
          <w:sz w:val="16"/>
          <w:szCs w:val="16"/>
        </w:rPr>
        <w:t>(iv) The</w:t>
      </w:r>
      <w:proofErr w:type="gramEnd"/>
      <w:r w:rsidRPr="00470E91">
        <w:rPr>
          <w:rFonts w:ascii="Book Antiqua" w:eastAsia="Times New Roman" w:hAnsi="Book Antiqua" w:cs="Arial"/>
          <w:sz w:val="16"/>
          <w:szCs w:val="16"/>
        </w:rPr>
        <w:t xml:space="preserve"> accountability system described in §63.625(d) and (e) shall be used to determine the amount of product (M</w:t>
      </w:r>
      <w:r w:rsidRPr="00470E91">
        <w:rPr>
          <w:rFonts w:ascii="Book Antiqua" w:eastAsia="Times New Roman" w:hAnsi="Book Antiqua" w:cs="Arial"/>
          <w:sz w:val="16"/>
          <w:szCs w:val="16"/>
          <w:vertAlign w:val="subscript"/>
        </w:rPr>
        <w:t>p</w:t>
      </w:r>
      <w:r w:rsidRPr="00470E91">
        <w:rPr>
          <w:rFonts w:ascii="Book Antiqua" w:eastAsia="Times New Roman" w:hAnsi="Book Antiqua" w:cs="Arial"/>
          <w:sz w:val="16"/>
          <w:szCs w:val="16"/>
        </w:rPr>
        <w:t>) in storage.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(v) The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w:t>
      </w:r>
      <w:proofErr w:type="spellStart"/>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r w:rsidRPr="00470E91">
        <w:rPr>
          <w:rFonts w:ascii="Book Antiqua" w:eastAsia="Times New Roman" w:hAnsi="Book Antiqua" w:cs="Arial"/>
          <w:sz w:val="16"/>
          <w:szCs w:val="16"/>
        </w:rPr>
        <w:t>) of the product stored shall be determined using as appropriate the following methods (incorporated by reference—see 40 CFR 63.14) specified in the Book of Methods Used and Adopted By The Association Of Florida Phosphate Chemists, Seventh Edition 1991, where applicable: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Section XI, Methods of Analysis For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Method A—Volumetric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Section XI, Methods of Analysis For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xml:space="preserve">, Method B—Gravimetric </w:t>
      </w:r>
      <w:proofErr w:type="spellStart"/>
      <w:r w:rsidRPr="00470E91">
        <w:rPr>
          <w:rFonts w:ascii="Book Antiqua" w:eastAsia="Times New Roman" w:hAnsi="Book Antiqua" w:cs="Arial"/>
          <w:sz w:val="16"/>
          <w:szCs w:val="16"/>
        </w:rPr>
        <w:t>Quimociac</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Section XI, Methods of Analysis For Phosphoric Acid, Superphosphate, Triple superphosphate, and Ammonium Phosphates, No. 3 Total Phosphorus—P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 Method C—</w:t>
      </w:r>
      <w:proofErr w:type="spellStart"/>
      <w:r w:rsidRPr="00470E91">
        <w:rPr>
          <w:rFonts w:ascii="Book Antiqua" w:eastAsia="Times New Roman" w:hAnsi="Book Antiqua" w:cs="Arial"/>
          <w:sz w:val="16"/>
          <w:szCs w:val="16"/>
        </w:rPr>
        <w:t>Spectrophotometric</w:t>
      </w:r>
      <w:proofErr w:type="spellEnd"/>
      <w:r w:rsidRPr="00470E91">
        <w:rPr>
          <w:rFonts w:ascii="Book Antiqua" w:eastAsia="Times New Roman" w:hAnsi="Book Antiqua" w:cs="Arial"/>
          <w:sz w:val="16"/>
          <w:szCs w:val="16"/>
        </w:rPr>
        <w:t xml:space="preserve"> Method, or,</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(vi) The P</w:t>
      </w:r>
      <w:r w:rsidRPr="00470E91">
        <w:rPr>
          <w:rFonts w:ascii="Book Antiqua" w:eastAsia="Times New Roman" w:hAnsi="Book Antiqua" w:cs="Arial"/>
          <w:sz w:val="16"/>
          <w:szCs w:val="16"/>
          <w:vertAlign w:val="subscript"/>
        </w:rPr>
        <w:t>2</w:t>
      </w:r>
      <w:r w:rsidRPr="00470E91">
        <w:rPr>
          <w:rFonts w:ascii="Book Antiqua" w:eastAsia="Times New Roman" w:hAnsi="Book Antiqua" w:cs="Arial"/>
          <w:sz w:val="16"/>
          <w:szCs w:val="16"/>
        </w:rPr>
        <w:t>O</w:t>
      </w:r>
      <w:r w:rsidRPr="00470E91">
        <w:rPr>
          <w:rFonts w:ascii="Book Antiqua" w:eastAsia="Times New Roman" w:hAnsi="Book Antiqua" w:cs="Arial"/>
          <w:sz w:val="16"/>
          <w:szCs w:val="16"/>
          <w:vertAlign w:val="subscript"/>
        </w:rPr>
        <w:t>5</w:t>
      </w:r>
      <w:r w:rsidRPr="00470E91">
        <w:rPr>
          <w:rFonts w:ascii="Book Antiqua" w:eastAsia="Times New Roman" w:hAnsi="Book Antiqua" w:cs="Arial"/>
          <w:sz w:val="16"/>
          <w:szCs w:val="16"/>
        </w:rPr>
        <w:t>content (</w:t>
      </w:r>
      <w:proofErr w:type="spellStart"/>
      <w:r w:rsidRPr="00470E91">
        <w:rPr>
          <w:rFonts w:ascii="Book Antiqua" w:eastAsia="Times New Roman" w:hAnsi="Book Antiqua" w:cs="Arial"/>
          <w:sz w:val="16"/>
          <w:szCs w:val="16"/>
        </w:rPr>
        <w:t>R</w:t>
      </w:r>
      <w:r w:rsidRPr="00470E91">
        <w:rPr>
          <w:rFonts w:ascii="Book Antiqua" w:eastAsia="Times New Roman" w:hAnsi="Book Antiqua" w:cs="Arial"/>
          <w:sz w:val="16"/>
          <w:szCs w:val="16"/>
          <w:vertAlign w:val="subscript"/>
        </w:rPr>
        <w:t>p</w:t>
      </w:r>
      <w:proofErr w:type="spellEnd"/>
      <w:r w:rsidRPr="00470E91">
        <w:rPr>
          <w:rFonts w:ascii="Book Antiqua" w:eastAsia="Times New Roman" w:hAnsi="Book Antiqua" w:cs="Arial"/>
          <w:sz w:val="16"/>
          <w:szCs w:val="16"/>
        </w:rPr>
        <w:t>) of the product stored shall be determined using as appropriate the following methods (incorporated by reference—see 40 CFR 63.14) specified in the Official Methods of Analysis of AOAC International, sixteenth Edition, 1995, where applicable: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AOAC Official Method 957.02 Phosphorus (Total) In Fertilizers, Preparation of Sample Solution.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AOAC Official Method 929.01 Sampling of Solid Fertilizers.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AOAC Official Method 929.02 Preparation of Fertilizer Sample.</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(D) AOAC Official Method 978.01 Phosphorus (Total) in Fertilizers, Automated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(E) AOAC Official Method 969.02 Phosphorus (Total) in Fertilizers, </w:t>
      </w:r>
      <w:proofErr w:type="spellStart"/>
      <w:r w:rsidRPr="00470E91">
        <w:rPr>
          <w:rFonts w:ascii="Book Antiqua" w:eastAsia="Times New Roman" w:hAnsi="Book Antiqua" w:cs="Arial"/>
          <w:sz w:val="16"/>
          <w:szCs w:val="16"/>
        </w:rPr>
        <w:t>Alkalimetric</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Quinolinium</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Molybdophosphate</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(F) AOAC Official Method 962.02 Phosphorus (Total) in Fertilizers, Gravimetric </w:t>
      </w:r>
      <w:proofErr w:type="spellStart"/>
      <w:r w:rsidRPr="00470E91">
        <w:rPr>
          <w:rFonts w:ascii="Book Antiqua" w:eastAsia="Times New Roman" w:hAnsi="Book Antiqua" w:cs="Arial"/>
          <w:sz w:val="16"/>
          <w:szCs w:val="16"/>
        </w:rPr>
        <w:t>Quinolinium</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Molybdophosphate</w:t>
      </w:r>
      <w:proofErr w:type="spellEnd"/>
      <w:r w:rsidRPr="00470E91">
        <w:rPr>
          <w:rFonts w:ascii="Book Antiqua" w:eastAsia="Times New Roman" w:hAnsi="Book Antiqua" w:cs="Arial"/>
          <w:sz w:val="16"/>
          <w:szCs w:val="16"/>
        </w:rPr>
        <w:t xml:space="preserve"> Method.</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(G) AOAC Official Method 958.01 Phosphorus (Total) in Fertilizers, </w:t>
      </w:r>
      <w:proofErr w:type="spellStart"/>
      <w:r w:rsidRPr="00470E91">
        <w:rPr>
          <w:rFonts w:ascii="Book Antiqua" w:eastAsia="Times New Roman" w:hAnsi="Book Antiqua" w:cs="Arial"/>
          <w:sz w:val="16"/>
          <w:szCs w:val="16"/>
        </w:rPr>
        <w:t>Spectrophotometric</w:t>
      </w:r>
      <w:proofErr w:type="spellEnd"/>
      <w:r w:rsidRPr="00470E91">
        <w:rPr>
          <w:rFonts w:ascii="Book Antiqua" w:eastAsia="Times New Roman" w:hAnsi="Book Antiqua" w:cs="Arial"/>
          <w:sz w:val="16"/>
          <w:szCs w:val="16"/>
        </w:rPr>
        <w:t xml:space="preserve"> </w:t>
      </w:r>
      <w:proofErr w:type="spellStart"/>
      <w:r w:rsidRPr="00470E91">
        <w:rPr>
          <w:rFonts w:ascii="Book Antiqua" w:eastAsia="Times New Roman" w:hAnsi="Book Antiqua" w:cs="Arial"/>
          <w:sz w:val="16"/>
          <w:szCs w:val="16"/>
        </w:rPr>
        <w:t>Molybdovanadophosphate</w:t>
      </w:r>
      <w:proofErr w:type="spellEnd"/>
      <w:r w:rsidRPr="00470E91">
        <w:rPr>
          <w:rFonts w:ascii="Book Antiqua" w:eastAsia="Times New Roman" w:hAnsi="Book Antiqua" w:cs="Arial"/>
          <w:sz w:val="16"/>
          <w:szCs w:val="16"/>
        </w:rPr>
        <w:t xml:space="preserve"> Method.</w:t>
      </w:r>
    </w:p>
    <w:p w:rsidR="00433252" w:rsidRDefault="00433252">
      <w:pPr>
        <w:rPr>
          <w:rFonts w:ascii="Book Antiqua" w:eastAsia="Times New Roman" w:hAnsi="Book Antiqua" w:cs="Arial"/>
          <w:sz w:val="16"/>
          <w:szCs w:val="16"/>
        </w:rPr>
      </w:pPr>
      <w:r>
        <w:rPr>
          <w:rFonts w:ascii="Book Antiqua" w:eastAsia="Times New Roman" w:hAnsi="Book Antiqua" w:cs="Arial"/>
          <w:sz w:val="16"/>
          <w:szCs w:val="16"/>
        </w:rPr>
        <w:br w:type="page"/>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(4) To comply with §63.625(f) (1) or (2), the owner or operator shall use the monitoring systems described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 (1) or (2).</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63.627   Notification, recordkeeping, and reporting requirements.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Each owner or operator subject to the requirements of this subpart shall comply with the notification requirements in §63.9.</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Each owner or operator subject to the requirements of this subpart shall comply with the recordkeeping requirements in §63.10.</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The owner or operator of an affected source shall comply with the reporting requirements specified in §63.10 as follows: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(1) </w:t>
      </w:r>
      <w:r w:rsidRPr="00470E91">
        <w:rPr>
          <w:rFonts w:ascii="Book Antiqua" w:eastAsia="Times New Roman" w:hAnsi="Book Antiqua" w:cs="Arial"/>
          <w:i/>
          <w:iCs/>
          <w:sz w:val="16"/>
          <w:szCs w:val="16"/>
        </w:rPr>
        <w:t xml:space="preserve">Performance test report. </w:t>
      </w:r>
      <w:r w:rsidRPr="00470E91">
        <w:rPr>
          <w:rFonts w:ascii="Book Antiqua" w:eastAsia="Times New Roman" w:hAnsi="Book Antiqua" w:cs="Arial"/>
          <w:sz w:val="16"/>
          <w:szCs w:val="16"/>
        </w:rPr>
        <w:t>As required by §63.10, the owner or operator shall report the results of the initial and annual performance tests as part of the notification of compliance status required in §63.9.</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(2) </w:t>
      </w:r>
      <w:r w:rsidRPr="00470E91">
        <w:rPr>
          <w:rFonts w:ascii="Book Antiqua" w:eastAsia="Times New Roman" w:hAnsi="Book Antiqua" w:cs="Arial"/>
          <w:i/>
          <w:iCs/>
          <w:sz w:val="16"/>
          <w:szCs w:val="16"/>
        </w:rPr>
        <w:t xml:space="preserve">Excess emissions report. </w:t>
      </w:r>
      <w:r w:rsidRPr="00470E91">
        <w:rPr>
          <w:rFonts w:ascii="Book Antiqua" w:eastAsia="Times New Roman" w:hAnsi="Book Antiqua" w:cs="Arial"/>
          <w:sz w:val="16"/>
          <w:szCs w:val="16"/>
        </w:rPr>
        <w:t xml:space="preserve">As required by §63.10, the owner or operator of an affected source shall submit an excess emissions report for any exceedance of an operating parameter limit. The report shall contain the information specified in §63.10. When no </w:t>
      </w:r>
      <w:proofErr w:type="spellStart"/>
      <w:r w:rsidRPr="00470E91">
        <w:rPr>
          <w:rFonts w:ascii="Book Antiqua" w:eastAsia="Times New Roman" w:hAnsi="Book Antiqua" w:cs="Arial"/>
          <w:sz w:val="16"/>
          <w:szCs w:val="16"/>
        </w:rPr>
        <w:t>exceedances</w:t>
      </w:r>
      <w:proofErr w:type="spellEnd"/>
      <w:r w:rsidRPr="00470E91">
        <w:rPr>
          <w:rFonts w:ascii="Book Antiqua" w:eastAsia="Times New Roman" w:hAnsi="Book Antiqua" w:cs="Arial"/>
          <w:sz w:val="16"/>
          <w:szCs w:val="16"/>
        </w:rPr>
        <w:t xml:space="preserve"> of an operating parameter have occurred, such information shall be included in the report. The report shall be submitted semiannually and shall be delivered or postmarked by the 30th day following the end of the calendar half. If </w:t>
      </w:r>
      <w:proofErr w:type="spellStart"/>
      <w:r w:rsidRPr="00470E91">
        <w:rPr>
          <w:rFonts w:ascii="Book Antiqua" w:eastAsia="Times New Roman" w:hAnsi="Book Antiqua" w:cs="Arial"/>
          <w:sz w:val="16"/>
          <w:szCs w:val="16"/>
        </w:rPr>
        <w:t>exceedances</w:t>
      </w:r>
      <w:proofErr w:type="spellEnd"/>
      <w:r w:rsidRPr="00470E91">
        <w:rPr>
          <w:rFonts w:ascii="Book Antiqua" w:eastAsia="Times New Roman" w:hAnsi="Book Antiqua" w:cs="Arial"/>
          <w:sz w:val="16"/>
          <w:szCs w:val="16"/>
        </w:rPr>
        <w:t xml:space="preserve"> are reported, the owner or operator shall report quarterly until a request to reduce reporting frequency is approved as described in §63.10.</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(3) </w:t>
      </w:r>
      <w:r w:rsidRPr="00470E91">
        <w:rPr>
          <w:rFonts w:ascii="Book Antiqua" w:eastAsia="Times New Roman" w:hAnsi="Book Antiqua" w:cs="Arial"/>
          <w:i/>
          <w:iCs/>
          <w:sz w:val="16"/>
          <w:szCs w:val="16"/>
        </w:rPr>
        <w:t xml:space="preserve">Summary report. </w:t>
      </w:r>
      <w:r w:rsidRPr="00470E91">
        <w:rPr>
          <w:rFonts w:ascii="Book Antiqua" w:eastAsia="Times New Roman" w:hAnsi="Book Antiqua" w:cs="Arial"/>
          <w:sz w:val="16"/>
          <w:szCs w:val="16"/>
        </w:rPr>
        <w:t xml:space="preserve">If the total duration of control system </w:t>
      </w:r>
      <w:proofErr w:type="spellStart"/>
      <w:r w:rsidRPr="00470E91">
        <w:rPr>
          <w:rFonts w:ascii="Book Antiqua" w:eastAsia="Times New Roman" w:hAnsi="Book Antiqua" w:cs="Arial"/>
          <w:sz w:val="16"/>
          <w:szCs w:val="16"/>
        </w:rPr>
        <w:t>exceedances</w:t>
      </w:r>
      <w:proofErr w:type="spellEnd"/>
      <w:r w:rsidRPr="00470E91">
        <w:rPr>
          <w:rFonts w:ascii="Book Antiqua" w:eastAsia="Times New Roman" w:hAnsi="Book Antiqua" w:cs="Arial"/>
          <w:sz w:val="16"/>
          <w:szCs w:val="16"/>
        </w:rPr>
        <w:t xml:space="preserve"> for the reporting period is less than 1 percent of the total operating time for the reporting period, the owner or operator shall submit a summary report containing the information specified in §63.10 rather than the full excess emissions report, unless required by the Administrator. The summary report shall be submitted semiannually and shall be delivered or postmarked by the 30th day following the end of the calendar half.</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 xml:space="preserve">(4) If the total duration of control system operating parameter </w:t>
      </w:r>
      <w:proofErr w:type="spellStart"/>
      <w:r w:rsidRPr="00470E91">
        <w:rPr>
          <w:rFonts w:ascii="Book Antiqua" w:eastAsia="Times New Roman" w:hAnsi="Book Antiqua" w:cs="Arial"/>
          <w:sz w:val="16"/>
          <w:szCs w:val="16"/>
        </w:rPr>
        <w:t>exceedances</w:t>
      </w:r>
      <w:proofErr w:type="spellEnd"/>
      <w:r w:rsidRPr="00470E91">
        <w:rPr>
          <w:rFonts w:ascii="Book Antiqua" w:eastAsia="Times New Roman" w:hAnsi="Book Antiqua" w:cs="Arial"/>
          <w:sz w:val="16"/>
          <w:szCs w:val="16"/>
        </w:rPr>
        <w:t xml:space="preserve"> for the reporting period is 1 percent or greater of the total operating time for the reporting period, the owner or operator shall submit a summary report and the excess emissions report.</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63.628   Applicability of general provisions.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The requirements of the general provisions in subpart A of this part that are applicable to the owner or operator subject to the requirements of this subpart are shown in appendix A to this subpart.</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63.629   </w:t>
      </w:r>
      <w:proofErr w:type="gramStart"/>
      <w:r w:rsidRPr="00470E91">
        <w:rPr>
          <w:rFonts w:ascii="Book Antiqua" w:eastAsia="Times New Roman" w:hAnsi="Book Antiqua" w:cs="Arial"/>
          <w:b/>
          <w:bCs/>
          <w:sz w:val="16"/>
          <w:szCs w:val="16"/>
        </w:rPr>
        <w:t>Miscellaneous</w:t>
      </w:r>
      <w:proofErr w:type="gramEnd"/>
      <w:r w:rsidRPr="00470E91">
        <w:rPr>
          <w:rFonts w:ascii="Book Antiqua" w:eastAsia="Times New Roman" w:hAnsi="Book Antiqua" w:cs="Arial"/>
          <w:b/>
          <w:bCs/>
          <w:sz w:val="16"/>
          <w:szCs w:val="16"/>
        </w:rPr>
        <w:t xml:space="preserve"> requirements.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The Administrator retains the authority to approve site-specific test plans for uncontrolled granular triple superphosphate storage buildings developed pursuant to §63.7(c</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2)(</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63.630   Compliance dates.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Each owner or operator of an existing affected source at a phosphate fertilizers production plant shall achieve compliance with the requirements of this subpart no later than June 10, 2002. Notwithstanding the requirements of §63.7(a</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2)(iii), each owner or operator of an existing affected source at a phosphate fertilizers production plant shall fulfill the applicable requirements of §63.626 no later than June 10, 2002.</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Each owner or operator of a phosphate fertilizers production plant that commences construction or reconstruction of an affected source after December 27, 1996 shall achieve compliance with the requirements of this subpart upon startup of operations or by June 10, 1999, whichever is later.</w:t>
      </w:r>
    </w:p>
    <w:p w:rsidR="00433252" w:rsidRDefault="00433252">
      <w:pPr>
        <w:rPr>
          <w:rFonts w:ascii="Book Antiqua" w:eastAsia="Times New Roman" w:hAnsi="Book Antiqua" w:cs="Arial"/>
          <w:sz w:val="16"/>
          <w:szCs w:val="16"/>
        </w:rPr>
      </w:pPr>
      <w:r>
        <w:rPr>
          <w:rFonts w:ascii="Book Antiqua" w:eastAsia="Times New Roman" w:hAnsi="Book Antiqua" w:cs="Arial"/>
          <w:sz w:val="16"/>
          <w:szCs w:val="16"/>
        </w:rPr>
        <w:br w:type="page"/>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The owner or operator of any existing uncontrolled granular triple superphosphate storage building subject to the provisions of this subpart shall submit for approval by the Administrator a site-specific test plan for each such building according to the provisions of §63.7(b)(2)(</w:t>
      </w:r>
      <w:proofErr w:type="spellStart"/>
      <w:r w:rsidRPr="00470E91">
        <w:rPr>
          <w:rFonts w:ascii="Book Antiqua" w:eastAsia="Times New Roman" w:hAnsi="Book Antiqua" w:cs="Arial"/>
          <w:sz w:val="16"/>
          <w:szCs w:val="16"/>
        </w:rPr>
        <w:t>i</w:t>
      </w:r>
      <w:proofErr w:type="spellEnd"/>
      <w:r w:rsidRPr="00470E91">
        <w:rPr>
          <w:rFonts w:ascii="Book Antiqua" w:eastAsia="Times New Roman" w:hAnsi="Book Antiqua" w:cs="Arial"/>
          <w:sz w:val="16"/>
          <w:szCs w:val="16"/>
        </w:rPr>
        <w:t>) no later than June 12, 2000.</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63.631   Exemption from new source performance standards.</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Any affected source subject to the provisions of this subpart is exempted from any otherwise applicable new source performance standard contained in 40 CFR part 60, subpart V, subpart W, or subpart X.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§§63.624, 63.625 and 63.626 have been met.</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 63.632   Implementation and enforcement.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(c) The authorities that cannot be delegated to State, local, or Tribal agencies are as specified in paragraphs (c</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1) through (4) of this section.</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(1) Approval of alternatives to the requirements in §§63.620, 63.622 through 63.624, and 63.629 through 63.631.</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(2) Approval of major alternatives to test methods under §63.7(e</w:t>
      </w:r>
      <w:proofErr w:type="gramStart"/>
      <w:r w:rsidRPr="00470E91">
        <w:rPr>
          <w:rFonts w:ascii="Book Antiqua" w:eastAsia="Times New Roman" w:hAnsi="Book Antiqua" w:cs="Arial"/>
          <w:sz w:val="16"/>
          <w:szCs w:val="16"/>
        </w:rPr>
        <w:t>)(</w:t>
      </w:r>
      <w:proofErr w:type="gramEnd"/>
      <w:r w:rsidRPr="00470E91">
        <w:rPr>
          <w:rFonts w:ascii="Book Antiqua" w:eastAsia="Times New Roman" w:hAnsi="Book Antiqua" w:cs="Arial"/>
          <w:sz w:val="16"/>
          <w:szCs w:val="16"/>
        </w:rPr>
        <w:t>2)(ii) and (f), as defined in §63.90, and as required in this subpart.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(3) Approval of major alternatives to monitoring under §63.8(f), as defined in §63.90, and as required in this subpart.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(4) Approval of major alternatives to recordkeeping and reporting under §63.10(f), as defined in §63.90, and as required in this subpart.</w:t>
      </w:r>
    </w:p>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r w:rsidRPr="00470E91">
        <w:rPr>
          <w:rFonts w:ascii="Book Antiqua" w:eastAsia="Times New Roman" w:hAnsi="Book Antiqua" w:cs="Arial"/>
          <w:sz w:val="16"/>
          <w:szCs w:val="16"/>
        </w:rPr>
        <w:t>[68 FR 37351, June 23, 2003]</w:t>
      </w: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Appendix A to Subpart BB of Part 63—Applicability of General Provisions (40 CFR Part 63, Subpart A) to Subpart BB</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575"/>
        <w:gridCol w:w="2633"/>
        <w:gridCol w:w="2775"/>
        <w:gridCol w:w="1407"/>
      </w:tblGrid>
      <w:tr w:rsidR="00470E91" w:rsidRPr="00470E91" w:rsidTr="00470E91">
        <w:tc>
          <w:tcPr>
            <w:tcW w:w="0" w:type="auto"/>
            <w:tcBorders>
              <w:top w:val="single" w:sz="4" w:space="0" w:color="000000"/>
              <w:left w:val="single" w:sz="4" w:space="0" w:color="000000"/>
              <w:bottom w:val="single" w:sz="4" w:space="0" w:color="000000"/>
              <w:right w:val="single" w:sz="4" w:space="0" w:color="000000"/>
            </w:tcBorders>
            <w:vAlign w:val="bottom"/>
            <w:hideMark/>
          </w:tcPr>
          <w:p w:rsidR="00470E91" w:rsidRPr="00470E91" w:rsidRDefault="00470E91" w:rsidP="00470E91">
            <w:pPr>
              <w:spacing w:after="0" w:line="240" w:lineRule="auto"/>
              <w:jc w:val="center"/>
              <w:rPr>
                <w:rFonts w:ascii="Book Antiqua" w:eastAsia="Times New Roman" w:hAnsi="Book Antiqua" w:cs="Times New Roman"/>
                <w:b/>
                <w:bCs/>
                <w:sz w:val="16"/>
                <w:szCs w:val="16"/>
              </w:rPr>
            </w:pPr>
            <w:r w:rsidRPr="00470E91">
              <w:rPr>
                <w:rFonts w:ascii="Book Antiqua" w:eastAsia="Times New Roman" w:hAnsi="Book Antiqua" w:cs="Times New Roman"/>
                <w:b/>
                <w:bCs/>
                <w:sz w:val="16"/>
                <w:szCs w:val="16"/>
              </w:rPr>
              <w:t>40 CFR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0E91" w:rsidRPr="00470E91" w:rsidRDefault="00470E91" w:rsidP="00470E91">
            <w:pPr>
              <w:spacing w:after="0" w:line="240" w:lineRule="auto"/>
              <w:jc w:val="center"/>
              <w:rPr>
                <w:rFonts w:ascii="Book Antiqua" w:eastAsia="Times New Roman" w:hAnsi="Book Antiqua" w:cs="Times New Roman"/>
                <w:b/>
                <w:bCs/>
                <w:sz w:val="16"/>
                <w:szCs w:val="16"/>
              </w:rPr>
            </w:pPr>
            <w:r w:rsidRPr="00470E91">
              <w:rPr>
                <w:rFonts w:ascii="Book Antiqua" w:eastAsia="Times New Roman" w:hAnsi="Book Antiqua" w:cs="Times New Roman"/>
                <w:b/>
                <w:bCs/>
                <w:sz w:val="16"/>
                <w:szCs w:val="16"/>
              </w:rPr>
              <w:t>Requirement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0E91" w:rsidRPr="00470E91" w:rsidRDefault="00470E91" w:rsidP="00470E91">
            <w:pPr>
              <w:spacing w:after="0" w:line="240" w:lineRule="auto"/>
              <w:jc w:val="center"/>
              <w:rPr>
                <w:rFonts w:ascii="Book Antiqua" w:eastAsia="Times New Roman" w:hAnsi="Book Antiqua" w:cs="Times New Roman"/>
                <w:b/>
                <w:bCs/>
                <w:sz w:val="16"/>
                <w:szCs w:val="16"/>
              </w:rPr>
            </w:pPr>
            <w:r w:rsidRPr="00470E91">
              <w:rPr>
                <w:rFonts w:ascii="Book Antiqua" w:eastAsia="Times New Roman" w:hAnsi="Book Antiqua" w:cs="Times New Roman"/>
                <w:b/>
                <w:bCs/>
                <w:sz w:val="16"/>
                <w:szCs w:val="16"/>
              </w:rPr>
              <w:t>Applies to subpart BB</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0E91" w:rsidRPr="00470E91" w:rsidRDefault="00470E91" w:rsidP="00470E91">
            <w:pPr>
              <w:spacing w:after="0" w:line="240" w:lineRule="auto"/>
              <w:jc w:val="center"/>
              <w:rPr>
                <w:rFonts w:ascii="Book Antiqua" w:eastAsia="Times New Roman" w:hAnsi="Book Antiqua" w:cs="Times New Roman"/>
                <w:b/>
                <w:bCs/>
                <w:sz w:val="16"/>
                <w:szCs w:val="16"/>
              </w:rPr>
            </w:pPr>
            <w:r w:rsidRPr="00470E91">
              <w:rPr>
                <w:rFonts w:ascii="Book Antiqua" w:eastAsia="Times New Roman" w:hAnsi="Book Antiqua" w:cs="Times New Roman"/>
                <w:b/>
                <w:bCs/>
                <w:sz w:val="16"/>
                <w:szCs w:val="16"/>
              </w:rPr>
              <w:t>Comment</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63.1(a)(1) through (4)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General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63.1(a)(5)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63.1(a)(6) through (8)</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63.1(a)(9)</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bl>
    <w:p w:rsidR="00433252" w:rsidRDefault="00433252">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45"/>
        <w:gridCol w:w="4824"/>
        <w:gridCol w:w="334"/>
        <w:gridCol w:w="2487"/>
      </w:tblGrid>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63.1(a)(10) through (14)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Initial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63.1(c)(1)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Applicability After Standard Established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63.1(c)(2)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Some plants may be area sources.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63.1(c)(3)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63.1(c)(4) and (5)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Applicability of Permit Program</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Additional definitions in §63.621.</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63.4(a)(1) through (3)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Prohibited Activities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63.4(a)(4)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63.4(a)(5)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63.4(b) and (c)</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Circumvention/Severability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Construction/Reconstruction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63.5(b)(1)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Existing, New, Reconstructed Sources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63.5(b)(2)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63.5(b)(3) through (6)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63.5(c)</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Application for 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63.5(f)</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Approval of Construction/Reconstruction Based on State Review</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Compliance with Standards and Maintenance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63.6(b)(1) through (5)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New and Reconstructed Sources Dates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See also §63.629.</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63.6(b)(6)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63.6(b)(7)</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63.6(c)(1)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Existing Sources Dates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 xml:space="preserve">§63.629 </w:t>
            </w:r>
            <w:proofErr w:type="gramStart"/>
            <w:r w:rsidRPr="00470E91">
              <w:rPr>
                <w:rFonts w:ascii="Book Antiqua" w:eastAsia="Times New Roman" w:hAnsi="Book Antiqua" w:cs="Times New Roman"/>
                <w:sz w:val="16"/>
                <w:szCs w:val="16"/>
              </w:rPr>
              <w:t>specifies</w:t>
            </w:r>
            <w:proofErr w:type="gramEnd"/>
            <w:r w:rsidRPr="00470E91">
              <w:rPr>
                <w:rFonts w:ascii="Book Antiqua" w:eastAsia="Times New Roman" w:hAnsi="Book Antiqua" w:cs="Times New Roman"/>
                <w:sz w:val="16"/>
                <w:szCs w:val="16"/>
              </w:rPr>
              <w:t xml:space="preserve"> dates.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63.6(c)(2)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bl>
    <w:p w:rsidR="00433252" w:rsidRDefault="00433252">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01"/>
        <w:gridCol w:w="2960"/>
        <w:gridCol w:w="322"/>
        <w:gridCol w:w="4707"/>
      </w:tblGrid>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63.6(c)(3) and (4)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63.6(c)(5)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63.6(e)(1) and (2)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Operation &amp;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63.6(e)(3)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Startup, Shutdown, and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63.6(f)</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Compliance with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63.6(g)</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Alternative Standard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63.6(h)</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Compliance with 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include VE/opacity standards.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w:t>
            </w:r>
            <w:proofErr w:type="spellStart"/>
            <w:r w:rsidRPr="00470E91">
              <w:rPr>
                <w:rFonts w:ascii="Book Antiqua" w:eastAsia="Times New Roman" w:hAnsi="Book Antiqua" w:cs="Times New Roman"/>
                <w:sz w:val="16"/>
                <w:szCs w:val="16"/>
              </w:rPr>
              <w:t>i</w:t>
            </w:r>
            <w:proofErr w:type="spellEnd"/>
            <w:r w:rsidRPr="00470E91">
              <w:rPr>
                <w:rFonts w:ascii="Book Antiqua" w:eastAsia="Times New Roman" w:hAnsi="Book Antiqua" w:cs="Times New Roman"/>
                <w:sz w:val="16"/>
                <w:szCs w:val="16"/>
              </w:rPr>
              <w:t>)(1) through (14)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Extension of Compliance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w:t>
            </w:r>
            <w:proofErr w:type="spellStart"/>
            <w:r w:rsidRPr="00470E91">
              <w:rPr>
                <w:rFonts w:ascii="Book Antiqua" w:eastAsia="Times New Roman" w:hAnsi="Book Antiqua" w:cs="Times New Roman"/>
                <w:sz w:val="16"/>
                <w:szCs w:val="16"/>
              </w:rPr>
              <w:t>i</w:t>
            </w:r>
            <w:proofErr w:type="spellEnd"/>
            <w:r w:rsidRPr="00470E91">
              <w:rPr>
                <w:rFonts w:ascii="Book Antiqua" w:eastAsia="Times New Roman" w:hAnsi="Book Antiqua" w:cs="Times New Roman"/>
                <w:sz w:val="16"/>
                <w:szCs w:val="16"/>
              </w:rPr>
              <w:t>)(15)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w:t>
            </w:r>
            <w:proofErr w:type="spellStart"/>
            <w:r w:rsidRPr="00470E91">
              <w:rPr>
                <w:rFonts w:ascii="Book Antiqua" w:eastAsia="Times New Roman" w:hAnsi="Book Antiqua" w:cs="Times New Roman"/>
                <w:sz w:val="16"/>
                <w:szCs w:val="16"/>
              </w:rPr>
              <w:t>i</w:t>
            </w:r>
            <w:proofErr w:type="spellEnd"/>
            <w:r w:rsidRPr="00470E91">
              <w:rPr>
                <w:rFonts w:ascii="Book Antiqua" w:eastAsia="Times New Roman" w:hAnsi="Book Antiqua" w:cs="Times New Roman"/>
                <w:sz w:val="16"/>
                <w:szCs w:val="16"/>
              </w:rPr>
              <w:t>)(16)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63.6(j)</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Exemption from Compliance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Performance Test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§63.629(a) applies rather than §63.7(a</w:t>
            </w:r>
            <w:proofErr w:type="gramStart"/>
            <w:r w:rsidRPr="00470E91">
              <w:rPr>
                <w:rFonts w:ascii="Book Antiqua" w:eastAsia="Times New Roman" w:hAnsi="Book Antiqua" w:cs="Times New Roman"/>
                <w:sz w:val="16"/>
                <w:szCs w:val="16"/>
              </w:rPr>
              <w:t>)(</w:t>
            </w:r>
            <w:proofErr w:type="gramEnd"/>
            <w:r w:rsidRPr="00470E91">
              <w:rPr>
                <w:rFonts w:ascii="Book Antiqua" w:eastAsia="Times New Roman" w:hAnsi="Book Antiqua" w:cs="Times New Roman"/>
                <w:sz w:val="16"/>
                <w:szCs w:val="16"/>
              </w:rPr>
              <w:t>2)(iii).</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63.7(c)</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Conduct of Tests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§§63.624 and 63.625 specify additional requirements.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63.7(f)</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Alternative Test Method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63.7(g)</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Data Analysis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63.7(h)</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63.8(a)(1)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Monitoring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63.8(a)(2)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CMS performance specifications.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63.8(a)(3)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63.8(a)(4)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Conduct of Monitoring</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63.8(c)(1) through (4)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CMS Operation/Maintenance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63.8(c)(5) through (8)</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COMS/CEMS or CMS performance specifications.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CMS performance evaluations.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63.8(f)(1) through (5)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bl>
    <w:p w:rsidR="00433252" w:rsidRDefault="00433252">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72"/>
        <w:gridCol w:w="3635"/>
        <w:gridCol w:w="322"/>
        <w:gridCol w:w="3961"/>
      </w:tblGrid>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63.8(f)(6)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Alternative to RATA Test</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CEMS.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63.8(g)(1)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63.8(g)(2)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COMS or CEMS.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63.8(g)(3) through (5)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Notification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63.9(c)</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63.9(d)</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New Source Notification for Special Compliance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63.9(f)</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Notification of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include VE/opacity standards.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63.9(g)</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Additional CMS Notifications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CMS performance evaluation, COMS, or CEMS.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63.9(h)(1) through (3)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63.9(h)(4)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63.9(h)(5) and (6)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w:t>
            </w:r>
            <w:proofErr w:type="spellStart"/>
            <w:r w:rsidRPr="00470E91">
              <w:rPr>
                <w:rFonts w:ascii="Book Antiqua" w:eastAsia="Times New Roman" w:hAnsi="Book Antiqua" w:cs="Times New Roman"/>
                <w:sz w:val="16"/>
                <w:szCs w:val="16"/>
              </w:rPr>
              <w:t>i</w:t>
            </w:r>
            <w:proofErr w:type="spellEnd"/>
            <w:r w:rsidRPr="00470E91">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Adjustment of Deadlines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63.9(j)</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Recordkeeping/Reporting-Applicability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63.10(c)(2) through (4)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63.10(c)(6)</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CMS performance specifications.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63.10(c)(7) and (8)</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63.10(c)(9)</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[Reserved].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63.10(c)(10 ) through (13)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63.10(c)(14)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a CMS quality control program.</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63.10(c)(15)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63.10(d)(1)</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bl>
    <w:p w:rsidR="00433252" w:rsidRDefault="00433252">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83"/>
        <w:gridCol w:w="3435"/>
        <w:gridCol w:w="322"/>
        <w:gridCol w:w="4550"/>
      </w:tblGrid>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63.10(d)(2)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63.10(d)(3)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include VE/opacity standards.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63.10(d)(4) and (5)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Progress Reports/Startup,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63.10(e)(1) and (2)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CEMS or CMS performance evaluations.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63.10(e)(3)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Excess Emissions/CMS Performance Reports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§63.626(c</w:t>
            </w:r>
            <w:proofErr w:type="gramStart"/>
            <w:r w:rsidRPr="00470E91">
              <w:rPr>
                <w:rFonts w:ascii="Book Antiqua" w:eastAsia="Times New Roman" w:hAnsi="Book Antiqua" w:cs="Times New Roman"/>
                <w:sz w:val="16"/>
                <w:szCs w:val="16"/>
              </w:rPr>
              <w:t>)(</w:t>
            </w:r>
            <w:proofErr w:type="gramEnd"/>
            <w:r w:rsidRPr="00470E91">
              <w:rPr>
                <w:rFonts w:ascii="Book Antiqua" w:eastAsia="Times New Roman" w:hAnsi="Book Antiqua" w:cs="Times New Roman"/>
                <w:sz w:val="16"/>
                <w:szCs w:val="16"/>
              </w:rPr>
              <w:t>2) includes additional requirements. A CMS performance report is not required.</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63.10(e)(4)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COMS Data Reports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Subpart BB does not require COMS.</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63.10(f)</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Recordkeeping/Reporting Waiver</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63.11(a)</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Control Device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63.11(b)</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Flares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Flares not applicable.</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63.12</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Authority for approval of site-specific test plans for GTSP storage buildings is retained (see §63.628(a)).</w:t>
            </w: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63.13</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63.14</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r w:rsidR="00470E91" w:rsidRPr="00470E91" w:rsidTr="00470E91">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63.15</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Information Availability/Confidentiality</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r w:rsidRPr="00470E91">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470E91" w:rsidRPr="00470E91" w:rsidRDefault="00470E91" w:rsidP="00470E91">
            <w:pPr>
              <w:spacing w:after="0" w:line="240" w:lineRule="auto"/>
              <w:rPr>
                <w:rFonts w:ascii="Book Antiqua" w:eastAsia="Times New Roman" w:hAnsi="Book Antiqua" w:cs="Times New Roman"/>
                <w:sz w:val="16"/>
                <w:szCs w:val="16"/>
              </w:rPr>
            </w:pPr>
          </w:p>
        </w:tc>
      </w:tr>
    </w:tbl>
    <w:p w:rsidR="00470E91" w:rsidRPr="00470E91" w:rsidRDefault="00470E91" w:rsidP="00470E91">
      <w:pPr>
        <w:spacing w:before="100" w:beforeAutospacing="1" w:after="100" w:afterAutospacing="1" w:line="240" w:lineRule="auto"/>
        <w:rPr>
          <w:rFonts w:ascii="Book Antiqua" w:eastAsia="Times New Roman" w:hAnsi="Book Antiqua" w:cs="Arial"/>
          <w:sz w:val="16"/>
          <w:szCs w:val="16"/>
        </w:rPr>
      </w:pPr>
      <w:proofErr w:type="gramStart"/>
      <w:r w:rsidRPr="00470E91">
        <w:rPr>
          <w:rFonts w:ascii="Book Antiqua" w:eastAsia="Times New Roman" w:hAnsi="Book Antiqua" w:cs="Arial"/>
          <w:sz w:val="16"/>
          <w:szCs w:val="16"/>
        </w:rPr>
        <w:t>[ 64</w:t>
      </w:r>
      <w:proofErr w:type="gramEnd"/>
      <w:r w:rsidRPr="00470E91">
        <w:rPr>
          <w:rFonts w:ascii="Book Antiqua" w:eastAsia="Times New Roman" w:hAnsi="Book Antiqua" w:cs="Arial"/>
          <w:sz w:val="16"/>
          <w:szCs w:val="16"/>
        </w:rPr>
        <w:t xml:space="preserve"> FR 31382, June 10, 1999, as amended at 67 FR 65078, Dec. 17, 2001]</w:t>
      </w:r>
    </w:p>
    <w:p w:rsidR="00E80176" w:rsidRDefault="00E80176"/>
    <w:sectPr w:rsidR="00E80176" w:rsidSect="00470E91">
      <w:headerReference w:type="default" r:id="rId11"/>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C72" w:rsidRDefault="00CA4C72" w:rsidP="00470E91">
      <w:pPr>
        <w:spacing w:after="0" w:line="240" w:lineRule="auto"/>
      </w:pPr>
      <w:r>
        <w:separator/>
      </w:r>
    </w:p>
  </w:endnote>
  <w:endnote w:type="continuationSeparator" w:id="0">
    <w:p w:rsidR="00CA4C72" w:rsidRDefault="00CA4C72" w:rsidP="00470E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0235"/>
      <w:docPartObj>
        <w:docPartGallery w:val="Page Numbers (Bottom of Page)"/>
        <w:docPartUnique/>
      </w:docPartObj>
    </w:sdtPr>
    <w:sdtContent>
      <w:p w:rsidR="001F4BE7" w:rsidRDefault="001F4BE7">
        <w:pPr>
          <w:pStyle w:val="Footer"/>
          <w:jc w:val="center"/>
        </w:pPr>
        <w:fldSimple w:instr=" PAGE   \* MERGEFORMAT ">
          <w:r>
            <w:rPr>
              <w:noProof/>
            </w:rPr>
            <w:t>2</w:t>
          </w:r>
        </w:fldSimple>
      </w:p>
    </w:sdtContent>
  </w:sdt>
  <w:p w:rsidR="0041210F" w:rsidRDefault="004121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3690"/>
      <w:docPartObj>
        <w:docPartGallery w:val="Page Numbers (Bottom of Page)"/>
        <w:docPartUnique/>
      </w:docPartObj>
    </w:sdtPr>
    <w:sdtContent>
      <w:p w:rsidR="00470E91" w:rsidRDefault="00624808">
        <w:pPr>
          <w:pStyle w:val="Footer"/>
          <w:jc w:val="center"/>
        </w:pPr>
        <w:r w:rsidRPr="00433252">
          <w:rPr>
            <w:rFonts w:ascii="Book Antiqua" w:hAnsi="Book Antiqua"/>
            <w:sz w:val="16"/>
            <w:szCs w:val="16"/>
          </w:rPr>
          <w:fldChar w:fldCharType="begin"/>
        </w:r>
        <w:r w:rsidR="00470E91" w:rsidRPr="00433252">
          <w:rPr>
            <w:rFonts w:ascii="Book Antiqua" w:hAnsi="Book Antiqua"/>
            <w:sz w:val="16"/>
            <w:szCs w:val="16"/>
          </w:rPr>
          <w:instrText xml:space="preserve"> PAGE   \* MERGEFORMAT </w:instrText>
        </w:r>
        <w:r w:rsidRPr="00433252">
          <w:rPr>
            <w:rFonts w:ascii="Book Antiqua" w:hAnsi="Book Antiqua"/>
            <w:sz w:val="16"/>
            <w:szCs w:val="16"/>
          </w:rPr>
          <w:fldChar w:fldCharType="separate"/>
        </w:r>
        <w:r w:rsidR="001F4BE7">
          <w:rPr>
            <w:rFonts w:ascii="Book Antiqua" w:hAnsi="Book Antiqua"/>
            <w:noProof/>
            <w:sz w:val="16"/>
            <w:szCs w:val="16"/>
          </w:rPr>
          <w:t>1</w:t>
        </w:r>
        <w:r w:rsidRPr="00433252">
          <w:rPr>
            <w:rFonts w:ascii="Book Antiqua" w:hAnsi="Book Antiqua"/>
            <w:sz w:val="16"/>
            <w:szCs w:val="16"/>
          </w:rPr>
          <w:fldChar w:fldCharType="end"/>
        </w:r>
      </w:p>
    </w:sdtContent>
  </w:sdt>
  <w:p w:rsidR="00470E91" w:rsidRDefault="00470E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C72" w:rsidRDefault="00CA4C72" w:rsidP="00470E91">
      <w:pPr>
        <w:spacing w:after="0" w:line="240" w:lineRule="auto"/>
      </w:pPr>
      <w:r>
        <w:separator/>
      </w:r>
    </w:p>
  </w:footnote>
  <w:footnote w:type="continuationSeparator" w:id="0">
    <w:p w:rsidR="00CA4C72" w:rsidRDefault="00CA4C72" w:rsidP="00470E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E91" w:rsidRDefault="00470E91">
    <w:pPr>
      <w:pStyle w:val="Header"/>
    </w:pPr>
  </w:p>
  <w:p w:rsidR="00470E91" w:rsidRPr="00470E91" w:rsidRDefault="00470E91" w:rsidP="00470E91">
    <w:pPr>
      <w:spacing w:before="100" w:beforeAutospacing="1" w:after="100" w:afterAutospacing="1" w:line="240" w:lineRule="auto"/>
      <w:outlineLvl w:val="4"/>
      <w:rPr>
        <w:rFonts w:ascii="Book Antiqua" w:eastAsia="Times New Roman" w:hAnsi="Book Antiqua" w:cs="Arial"/>
        <w:b/>
        <w:bCs/>
        <w:sz w:val="16"/>
        <w:szCs w:val="16"/>
      </w:rPr>
    </w:pPr>
    <w:r w:rsidRPr="00470E91">
      <w:rPr>
        <w:rFonts w:ascii="Book Antiqua" w:eastAsia="Times New Roman" w:hAnsi="Book Antiqua" w:cs="Arial"/>
        <w:b/>
        <w:bCs/>
        <w:sz w:val="16"/>
        <w:szCs w:val="16"/>
      </w:rPr>
      <w:t>Subpart BB—National Emission Standards for Hazardous Air Pollutants From Phosphate Fertilizers Production Plants</w:t>
    </w:r>
  </w:p>
  <w:p w:rsidR="00470E91" w:rsidRDefault="00470E9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470E91"/>
    <w:rsid w:val="00095873"/>
    <w:rsid w:val="001F4BE7"/>
    <w:rsid w:val="0041210F"/>
    <w:rsid w:val="00433252"/>
    <w:rsid w:val="00470E91"/>
    <w:rsid w:val="00624808"/>
    <w:rsid w:val="00BB599C"/>
    <w:rsid w:val="00CA4C72"/>
    <w:rsid w:val="00E801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176"/>
  </w:style>
  <w:style w:type="paragraph" w:styleId="Heading5">
    <w:name w:val="heading 5"/>
    <w:basedOn w:val="Normal"/>
    <w:link w:val="Heading5Char"/>
    <w:uiPriority w:val="9"/>
    <w:qFormat/>
    <w:rsid w:val="00470E9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470E91"/>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470E91"/>
    <w:rPr>
      <w:color w:val="0000FF"/>
      <w:u w:val="single"/>
    </w:rPr>
  </w:style>
  <w:style w:type="paragraph" w:styleId="NormalWeb">
    <w:name w:val="Normal (Web)"/>
    <w:basedOn w:val="Normal"/>
    <w:uiPriority w:val="99"/>
    <w:semiHidden/>
    <w:unhideWhenUsed/>
    <w:rsid w:val="00470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470E91"/>
    <w:rPr>
      <w:rFonts w:ascii="Arial" w:hAnsi="Arial" w:cs="Arial" w:hint="default"/>
      <w:b w:val="0"/>
      <w:bCs w:val="0"/>
      <w:i w:val="0"/>
      <w:iCs w:val="0"/>
      <w:smallCaps w:val="0"/>
      <w:sz w:val="11"/>
      <w:szCs w:val="11"/>
    </w:rPr>
  </w:style>
  <w:style w:type="character" w:customStyle="1" w:styleId="mainheader1">
    <w:name w:val="mainheader1"/>
    <w:basedOn w:val="DefaultParagraphFont"/>
    <w:rsid w:val="00470E91"/>
    <w:rPr>
      <w:b/>
      <w:bCs/>
      <w:sz w:val="31"/>
      <w:szCs w:val="31"/>
    </w:rPr>
  </w:style>
  <w:style w:type="character" w:customStyle="1" w:styleId="div5head">
    <w:name w:val="div5head"/>
    <w:basedOn w:val="DefaultParagraphFont"/>
    <w:rsid w:val="00470E91"/>
  </w:style>
  <w:style w:type="paragraph" w:styleId="BalloonText">
    <w:name w:val="Balloon Text"/>
    <w:basedOn w:val="Normal"/>
    <w:link w:val="BalloonTextChar"/>
    <w:uiPriority w:val="99"/>
    <w:semiHidden/>
    <w:unhideWhenUsed/>
    <w:rsid w:val="00470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E91"/>
    <w:rPr>
      <w:rFonts w:ascii="Tahoma" w:hAnsi="Tahoma" w:cs="Tahoma"/>
      <w:sz w:val="16"/>
      <w:szCs w:val="16"/>
    </w:rPr>
  </w:style>
  <w:style w:type="paragraph" w:styleId="Header">
    <w:name w:val="header"/>
    <w:basedOn w:val="Normal"/>
    <w:link w:val="HeaderChar"/>
    <w:uiPriority w:val="99"/>
    <w:unhideWhenUsed/>
    <w:rsid w:val="00470E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0E91"/>
  </w:style>
  <w:style w:type="paragraph" w:styleId="Footer">
    <w:name w:val="footer"/>
    <w:basedOn w:val="Normal"/>
    <w:link w:val="FooterChar"/>
    <w:uiPriority w:val="99"/>
    <w:unhideWhenUsed/>
    <w:rsid w:val="00470E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0E91"/>
  </w:style>
</w:styles>
</file>

<file path=word/webSettings.xml><?xml version="1.0" encoding="utf-8"?>
<w:webSettings xmlns:r="http://schemas.openxmlformats.org/officeDocument/2006/relationships" xmlns:w="http://schemas.openxmlformats.org/wordprocessingml/2006/main">
  <w:divs>
    <w:div w:id="1596356584">
      <w:bodyDiv w:val="1"/>
      <w:marLeft w:val="0"/>
      <w:marRight w:val="0"/>
      <w:marTop w:val="0"/>
      <w:marBottom w:val="0"/>
      <w:divBdr>
        <w:top w:val="none" w:sz="0" w:space="0" w:color="auto"/>
        <w:left w:val="none" w:sz="0" w:space="0" w:color="auto"/>
        <w:bottom w:val="none" w:sz="0" w:space="0" w:color="auto"/>
        <w:right w:val="none" w:sz="0" w:space="0" w:color="auto"/>
      </w:divBdr>
      <w:divsChild>
        <w:div w:id="24140805">
          <w:marLeft w:val="0"/>
          <w:marRight w:val="0"/>
          <w:marTop w:val="0"/>
          <w:marBottom w:val="0"/>
          <w:divBdr>
            <w:top w:val="none" w:sz="0" w:space="0" w:color="auto"/>
            <w:left w:val="none" w:sz="0" w:space="0" w:color="auto"/>
            <w:bottom w:val="none" w:sz="0" w:space="0" w:color="auto"/>
            <w:right w:val="none" w:sz="0" w:space="0" w:color="auto"/>
          </w:divBdr>
          <w:divsChild>
            <w:div w:id="1358503224">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ecfr.gpoaccess.gov/cgi/t/text/text-idx?c=ecfr;sid=5dddb1781be936c451f4e20340888a89;rgn=div6;view=text;node=40%3A10.0.1.1.1.3;idno=40;cc=ecfr"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fr.gpoaccess.gov/cgi/t/text/text-idx?c=ecfr;sid=5dddb1781be936c451f4e20340888a89;rgn=div6;view=text;node=40%3A10.0.1.1.1.1;idno=40;cc=ecfr"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access.gpo.gov/ecfr/graphics/pdfs/er10jn99.002.pdf" TargetMode="External"/><Relationship Id="rId4" Type="http://schemas.openxmlformats.org/officeDocument/2006/relationships/footnotes" Target="footnotes.xml"/><Relationship Id="rId9" Type="http://schemas.openxmlformats.org/officeDocument/2006/relationships/hyperlink" Target="http://www.access.gpo.gov/ecfr/graphics/pdfs/er10jn99.001.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5444</Words>
  <Characters>31036</Characters>
  <Application>Microsoft Office Word</Application>
  <DocSecurity>0</DocSecurity>
  <Lines>258</Lines>
  <Paragraphs>72</Paragraphs>
  <ScaleCrop>false</ScaleCrop>
  <Company/>
  <LinksUpToDate>false</LinksUpToDate>
  <CharactersWithSpaces>36408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2011-04-05T16:30:00Z</dcterms:created>
  <dcterms:modified xsi:type="dcterms:W3CDTF">2012-04-18T11:32:00Z</dcterms:modified>
</cp:coreProperties>
</file>